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F6F2B" w14:textId="1BABE4B0" w:rsidR="00E42152" w:rsidRPr="00257CBC" w:rsidRDefault="00E42152" w:rsidP="00EE05DD">
      <w:pPr>
        <w:spacing w:after="200" w:line="276" w:lineRule="auto"/>
        <w:jc w:val="both"/>
        <w:rPr>
          <w:rFonts w:ascii="Arial" w:hAnsi="Arial" w:cs="Arial"/>
          <w:b/>
          <w:bCs/>
          <w:sz w:val="28"/>
          <w:szCs w:val="28"/>
        </w:rPr>
      </w:pPr>
      <w:r w:rsidRPr="00257CBC">
        <w:rPr>
          <w:rFonts w:ascii="Arial" w:hAnsi="Arial" w:cs="Arial"/>
          <w:b/>
          <w:bCs/>
          <w:sz w:val="28"/>
          <w:szCs w:val="28"/>
        </w:rPr>
        <w:t>C</w:t>
      </w:r>
      <w:r w:rsidR="00444E97" w:rsidRPr="00257CBC">
        <w:rPr>
          <w:rFonts w:ascii="Arial" w:hAnsi="Arial" w:cs="Arial"/>
          <w:b/>
          <w:bCs/>
          <w:sz w:val="28"/>
          <w:szCs w:val="28"/>
        </w:rPr>
        <w:t>APITAL STRATEGY REPORT</w:t>
      </w:r>
      <w:r w:rsidRPr="00257CBC">
        <w:rPr>
          <w:rFonts w:ascii="Arial" w:hAnsi="Arial" w:cs="Arial"/>
          <w:b/>
          <w:bCs/>
          <w:sz w:val="28"/>
          <w:szCs w:val="28"/>
        </w:rPr>
        <w:t xml:space="preserve"> 2019/20</w:t>
      </w:r>
    </w:p>
    <w:p w14:paraId="37109429" w14:textId="3CFE97B2" w:rsidR="00A146CD" w:rsidRDefault="00444E97" w:rsidP="00EE05DD">
      <w:pPr>
        <w:spacing w:after="0" w:line="276" w:lineRule="auto"/>
        <w:jc w:val="both"/>
        <w:rPr>
          <w:rFonts w:ascii="Arial" w:hAnsi="Arial" w:cs="Arial"/>
          <w:b/>
          <w:sz w:val="24"/>
          <w:szCs w:val="24"/>
        </w:rPr>
      </w:pPr>
      <w:r w:rsidRPr="00257CBC">
        <w:rPr>
          <w:rFonts w:ascii="Arial" w:hAnsi="Arial" w:cs="Arial"/>
          <w:b/>
          <w:sz w:val="24"/>
          <w:szCs w:val="24"/>
        </w:rPr>
        <w:t>I</w:t>
      </w:r>
      <w:r w:rsidR="00257CBC">
        <w:rPr>
          <w:rFonts w:ascii="Arial" w:hAnsi="Arial" w:cs="Arial"/>
          <w:b/>
          <w:sz w:val="24"/>
          <w:szCs w:val="24"/>
        </w:rPr>
        <w:t>ntroduction</w:t>
      </w:r>
    </w:p>
    <w:p w14:paraId="0E0E6B2C" w14:textId="77777777" w:rsidR="00257CBC" w:rsidRPr="00257CBC" w:rsidRDefault="00257CBC" w:rsidP="00EE05DD">
      <w:pPr>
        <w:spacing w:after="0" w:line="276" w:lineRule="auto"/>
        <w:jc w:val="both"/>
        <w:rPr>
          <w:rFonts w:ascii="Arial" w:hAnsi="Arial" w:cs="Arial"/>
          <w:b/>
          <w:sz w:val="24"/>
          <w:szCs w:val="24"/>
        </w:rPr>
      </w:pPr>
    </w:p>
    <w:p w14:paraId="7CCF845B" w14:textId="5AE1777A" w:rsidR="00444E97" w:rsidRDefault="00736DD3" w:rsidP="00EE05DD">
      <w:pPr>
        <w:pStyle w:val="ListParagraph"/>
        <w:numPr>
          <w:ilvl w:val="0"/>
          <w:numId w:val="7"/>
        </w:numPr>
        <w:spacing w:after="0" w:line="276" w:lineRule="auto"/>
        <w:ind w:left="709" w:hanging="709"/>
        <w:jc w:val="both"/>
        <w:rPr>
          <w:rFonts w:ascii="Arial" w:hAnsi="Arial" w:cs="Arial"/>
          <w:sz w:val="24"/>
          <w:szCs w:val="24"/>
        </w:rPr>
      </w:pPr>
      <w:r w:rsidRPr="00257CBC">
        <w:rPr>
          <w:rFonts w:ascii="Arial" w:hAnsi="Arial" w:cs="Arial"/>
          <w:sz w:val="24"/>
          <w:szCs w:val="24"/>
        </w:rPr>
        <w:t xml:space="preserve">This </w:t>
      </w:r>
      <w:r w:rsidR="0038744F" w:rsidRPr="00257CBC">
        <w:rPr>
          <w:rFonts w:ascii="Arial" w:hAnsi="Arial" w:cs="Arial"/>
          <w:sz w:val="24"/>
          <w:szCs w:val="24"/>
        </w:rPr>
        <w:t xml:space="preserve">capital strategy </w:t>
      </w:r>
      <w:r w:rsidRPr="00257CBC">
        <w:rPr>
          <w:rFonts w:ascii="Arial" w:hAnsi="Arial" w:cs="Arial"/>
          <w:sz w:val="24"/>
          <w:szCs w:val="24"/>
        </w:rPr>
        <w:t xml:space="preserve">is new for 2019/20, </w:t>
      </w:r>
      <w:r w:rsidR="00D60BBC">
        <w:rPr>
          <w:rFonts w:ascii="Arial" w:hAnsi="Arial" w:cs="Arial"/>
          <w:sz w:val="24"/>
          <w:szCs w:val="24"/>
        </w:rPr>
        <w:t>providing a</w:t>
      </w:r>
      <w:r w:rsidR="000F4792">
        <w:rPr>
          <w:rFonts w:ascii="Arial" w:hAnsi="Arial" w:cs="Arial"/>
          <w:sz w:val="24"/>
          <w:szCs w:val="24"/>
        </w:rPr>
        <w:t xml:space="preserve"> </w:t>
      </w:r>
      <w:r w:rsidR="00D60BBC">
        <w:rPr>
          <w:rFonts w:ascii="Arial" w:hAnsi="Arial" w:cs="Arial"/>
          <w:sz w:val="24"/>
          <w:szCs w:val="24"/>
        </w:rPr>
        <w:t xml:space="preserve">  </w:t>
      </w:r>
      <w:r w:rsidR="006D7784" w:rsidRPr="00257CBC">
        <w:rPr>
          <w:rFonts w:ascii="Arial" w:hAnsi="Arial" w:cs="Arial"/>
          <w:sz w:val="24"/>
          <w:szCs w:val="24"/>
        </w:rPr>
        <w:t>high-level</w:t>
      </w:r>
      <w:r w:rsidRPr="00257CBC">
        <w:rPr>
          <w:rFonts w:ascii="Arial" w:hAnsi="Arial" w:cs="Arial"/>
          <w:sz w:val="24"/>
          <w:szCs w:val="24"/>
        </w:rPr>
        <w:t xml:space="preserve"> </w:t>
      </w:r>
      <w:r w:rsidR="000F4792">
        <w:rPr>
          <w:rFonts w:ascii="Arial" w:hAnsi="Arial" w:cs="Arial"/>
          <w:sz w:val="24"/>
          <w:szCs w:val="24"/>
        </w:rPr>
        <w:t>over</w:t>
      </w:r>
      <w:r w:rsidRPr="00257CBC">
        <w:rPr>
          <w:rFonts w:ascii="Arial" w:hAnsi="Arial" w:cs="Arial"/>
          <w:sz w:val="24"/>
          <w:szCs w:val="24"/>
        </w:rPr>
        <w:t xml:space="preserve">view of how capital expenditure, capital financing and treasury management activity contribute to the provision of </w:t>
      </w:r>
      <w:r w:rsidR="00C43DCD" w:rsidRPr="00257CBC">
        <w:rPr>
          <w:rFonts w:ascii="Arial" w:hAnsi="Arial" w:cs="Arial"/>
          <w:sz w:val="24"/>
          <w:szCs w:val="24"/>
        </w:rPr>
        <w:t>local public</w:t>
      </w:r>
      <w:r w:rsidRPr="00257CBC">
        <w:rPr>
          <w:rFonts w:ascii="Arial" w:hAnsi="Arial" w:cs="Arial"/>
          <w:sz w:val="24"/>
          <w:szCs w:val="24"/>
        </w:rPr>
        <w:t xml:space="preserve"> services</w:t>
      </w:r>
      <w:r w:rsidR="00D60BBC">
        <w:rPr>
          <w:rFonts w:ascii="Arial" w:hAnsi="Arial" w:cs="Arial"/>
          <w:sz w:val="24"/>
          <w:szCs w:val="24"/>
        </w:rPr>
        <w:t>. The strategy also provides an</w:t>
      </w:r>
      <w:r w:rsidRPr="00257CBC">
        <w:rPr>
          <w:rFonts w:ascii="Arial" w:hAnsi="Arial" w:cs="Arial"/>
          <w:sz w:val="24"/>
          <w:szCs w:val="24"/>
        </w:rPr>
        <w:t xml:space="preserve"> overview of how associated risk is managed and the implications for future financial sustainability.</w:t>
      </w:r>
      <w:r w:rsidR="00257CBC">
        <w:rPr>
          <w:rFonts w:ascii="Arial" w:hAnsi="Arial" w:cs="Arial"/>
          <w:sz w:val="24"/>
          <w:szCs w:val="24"/>
        </w:rPr>
        <w:t xml:space="preserve"> </w:t>
      </w:r>
    </w:p>
    <w:p w14:paraId="2D9A7C35" w14:textId="77777777" w:rsidR="000F4792" w:rsidRDefault="000F4792" w:rsidP="00EE05DD">
      <w:pPr>
        <w:pStyle w:val="ListParagraph"/>
        <w:spacing w:after="0" w:line="276" w:lineRule="auto"/>
        <w:ind w:left="709"/>
        <w:jc w:val="both"/>
        <w:rPr>
          <w:rFonts w:ascii="Arial" w:hAnsi="Arial" w:cs="Arial"/>
          <w:sz w:val="24"/>
          <w:szCs w:val="24"/>
        </w:rPr>
      </w:pPr>
    </w:p>
    <w:p w14:paraId="5FB9F3CF" w14:textId="3484DE2C" w:rsidR="000F4792" w:rsidRPr="000F4792" w:rsidRDefault="000F4792" w:rsidP="00EE05DD">
      <w:pPr>
        <w:pStyle w:val="ListParagraph"/>
        <w:numPr>
          <w:ilvl w:val="0"/>
          <w:numId w:val="7"/>
        </w:numPr>
        <w:spacing w:after="0" w:line="276" w:lineRule="auto"/>
        <w:ind w:left="709" w:hanging="709"/>
        <w:jc w:val="both"/>
        <w:rPr>
          <w:rFonts w:ascii="Arial" w:hAnsi="Arial" w:cs="Arial"/>
          <w:sz w:val="24"/>
          <w:szCs w:val="24"/>
        </w:rPr>
      </w:pPr>
      <w:r w:rsidRPr="000F4792">
        <w:rPr>
          <w:rFonts w:ascii="Arial" w:hAnsi="Arial" w:cs="Arial"/>
          <w:sz w:val="24"/>
          <w:szCs w:val="24"/>
        </w:rPr>
        <w:t>As part of the amendments implemented in the 2018/19 Treasury Management Code, it is now a requirement that all Local Authorities will need to produce a Capital Strategy each year.</w:t>
      </w:r>
    </w:p>
    <w:p w14:paraId="44D4CACE" w14:textId="77777777" w:rsidR="007E4126" w:rsidRDefault="007E4126" w:rsidP="00EE05DD">
      <w:pPr>
        <w:pStyle w:val="ListParagraph"/>
        <w:spacing w:after="0" w:line="276" w:lineRule="auto"/>
        <w:ind w:left="709"/>
        <w:jc w:val="both"/>
        <w:rPr>
          <w:rFonts w:ascii="Arial" w:hAnsi="Arial" w:cs="Arial"/>
          <w:sz w:val="24"/>
          <w:szCs w:val="24"/>
        </w:rPr>
      </w:pPr>
    </w:p>
    <w:p w14:paraId="6B695546" w14:textId="566E9CE1" w:rsidR="00257CBC" w:rsidRPr="00553845" w:rsidRDefault="00D60BBC" w:rsidP="00EE05DD">
      <w:pPr>
        <w:pStyle w:val="ListParagraph"/>
        <w:numPr>
          <w:ilvl w:val="0"/>
          <w:numId w:val="7"/>
        </w:numPr>
        <w:spacing w:after="0" w:line="276" w:lineRule="auto"/>
        <w:ind w:left="709" w:hanging="709"/>
        <w:jc w:val="both"/>
        <w:rPr>
          <w:rFonts w:ascii="Arial" w:hAnsi="Arial" w:cs="Arial"/>
          <w:sz w:val="24"/>
          <w:szCs w:val="24"/>
        </w:rPr>
      </w:pPr>
      <w:r w:rsidRPr="007E040D">
        <w:rPr>
          <w:rFonts w:ascii="Arial" w:hAnsi="Arial" w:cs="Arial"/>
          <w:sz w:val="24"/>
          <w:szCs w:val="24"/>
        </w:rPr>
        <w:t xml:space="preserve">This strategy </w:t>
      </w:r>
      <w:r w:rsidR="00731418">
        <w:rPr>
          <w:rFonts w:ascii="Arial" w:hAnsi="Arial" w:cs="Arial"/>
          <w:sz w:val="24"/>
          <w:szCs w:val="24"/>
        </w:rPr>
        <w:t>should be considered with</w:t>
      </w:r>
      <w:r w:rsidRPr="007E040D">
        <w:rPr>
          <w:rFonts w:ascii="Arial" w:hAnsi="Arial" w:cs="Arial"/>
          <w:sz w:val="24"/>
          <w:szCs w:val="24"/>
        </w:rPr>
        <w:t xml:space="preserve"> other strategies</w:t>
      </w:r>
      <w:r w:rsidR="00731418">
        <w:rPr>
          <w:rFonts w:ascii="Arial" w:hAnsi="Arial" w:cs="Arial"/>
          <w:sz w:val="24"/>
          <w:szCs w:val="24"/>
        </w:rPr>
        <w:t xml:space="preserve"> which </w:t>
      </w:r>
      <w:r w:rsidR="007D378A">
        <w:rPr>
          <w:rFonts w:ascii="Arial" w:hAnsi="Arial" w:cs="Arial"/>
          <w:sz w:val="24"/>
          <w:szCs w:val="24"/>
        </w:rPr>
        <w:t>will provide</w:t>
      </w:r>
      <w:r w:rsidR="00731418">
        <w:rPr>
          <w:rFonts w:ascii="Arial" w:hAnsi="Arial" w:cs="Arial"/>
          <w:sz w:val="24"/>
          <w:szCs w:val="24"/>
        </w:rPr>
        <w:t xml:space="preserve"> a holistic view of the Council’s financial planning framework</w:t>
      </w:r>
      <w:r w:rsidR="007D378A" w:rsidRPr="00553845">
        <w:rPr>
          <w:rFonts w:ascii="Arial" w:hAnsi="Arial" w:cs="Arial"/>
          <w:sz w:val="24"/>
          <w:szCs w:val="24"/>
        </w:rPr>
        <w:t>; the</w:t>
      </w:r>
      <w:r w:rsidR="00731418" w:rsidRPr="00553845">
        <w:rPr>
          <w:rFonts w:ascii="Arial" w:hAnsi="Arial" w:cs="Arial"/>
          <w:sz w:val="24"/>
          <w:szCs w:val="24"/>
        </w:rPr>
        <w:t xml:space="preserve"> </w:t>
      </w:r>
      <w:r w:rsidRPr="00553845">
        <w:rPr>
          <w:rFonts w:ascii="Arial" w:hAnsi="Arial" w:cs="Arial"/>
          <w:sz w:val="24"/>
          <w:szCs w:val="24"/>
        </w:rPr>
        <w:t>M</w:t>
      </w:r>
      <w:r w:rsidR="00040CF9" w:rsidRPr="00553845">
        <w:rPr>
          <w:rFonts w:ascii="Arial" w:hAnsi="Arial" w:cs="Arial"/>
          <w:sz w:val="24"/>
          <w:szCs w:val="24"/>
        </w:rPr>
        <w:t xml:space="preserve">edium </w:t>
      </w:r>
      <w:r w:rsidRPr="00553845">
        <w:rPr>
          <w:rFonts w:ascii="Arial" w:hAnsi="Arial" w:cs="Arial"/>
          <w:sz w:val="24"/>
          <w:szCs w:val="24"/>
        </w:rPr>
        <w:t>T</w:t>
      </w:r>
      <w:r w:rsidR="00040CF9" w:rsidRPr="00553845">
        <w:rPr>
          <w:rFonts w:ascii="Arial" w:hAnsi="Arial" w:cs="Arial"/>
          <w:sz w:val="24"/>
          <w:szCs w:val="24"/>
        </w:rPr>
        <w:t xml:space="preserve">erm </w:t>
      </w:r>
      <w:r w:rsidRPr="00553845">
        <w:rPr>
          <w:rFonts w:ascii="Arial" w:hAnsi="Arial" w:cs="Arial"/>
          <w:sz w:val="24"/>
          <w:szCs w:val="24"/>
        </w:rPr>
        <w:t>F</w:t>
      </w:r>
      <w:r w:rsidR="00040CF9" w:rsidRPr="00553845">
        <w:rPr>
          <w:rFonts w:ascii="Arial" w:hAnsi="Arial" w:cs="Arial"/>
          <w:sz w:val="24"/>
          <w:szCs w:val="24"/>
        </w:rPr>
        <w:t>inancial Strategy</w:t>
      </w:r>
      <w:r w:rsidR="006A49F8" w:rsidRPr="00553845">
        <w:rPr>
          <w:rFonts w:ascii="Arial" w:hAnsi="Arial" w:cs="Arial"/>
          <w:sz w:val="24"/>
          <w:szCs w:val="24"/>
        </w:rPr>
        <w:t>,</w:t>
      </w:r>
      <w:r w:rsidRPr="00553845">
        <w:rPr>
          <w:rFonts w:ascii="Arial" w:hAnsi="Arial" w:cs="Arial"/>
          <w:sz w:val="24"/>
          <w:szCs w:val="24"/>
        </w:rPr>
        <w:t xml:space="preserve"> Capital Programme, Treasury Management Strategy, Investment Strategy and the M</w:t>
      </w:r>
      <w:r w:rsidR="00040CF9" w:rsidRPr="00553845">
        <w:rPr>
          <w:rFonts w:ascii="Arial" w:hAnsi="Arial" w:cs="Arial"/>
          <w:sz w:val="24"/>
          <w:szCs w:val="24"/>
        </w:rPr>
        <w:t xml:space="preserve">inimum </w:t>
      </w:r>
      <w:r w:rsidRPr="00553845">
        <w:rPr>
          <w:rFonts w:ascii="Arial" w:hAnsi="Arial" w:cs="Arial"/>
          <w:sz w:val="24"/>
          <w:szCs w:val="24"/>
        </w:rPr>
        <w:t>R</w:t>
      </w:r>
      <w:r w:rsidR="00040CF9" w:rsidRPr="00553845">
        <w:rPr>
          <w:rFonts w:ascii="Arial" w:hAnsi="Arial" w:cs="Arial"/>
          <w:sz w:val="24"/>
          <w:szCs w:val="24"/>
        </w:rPr>
        <w:t xml:space="preserve">evenue </w:t>
      </w:r>
      <w:r w:rsidRPr="00553845">
        <w:rPr>
          <w:rFonts w:ascii="Arial" w:hAnsi="Arial" w:cs="Arial"/>
          <w:sz w:val="24"/>
          <w:szCs w:val="24"/>
        </w:rPr>
        <w:t>P</w:t>
      </w:r>
      <w:r w:rsidR="00040CF9" w:rsidRPr="00553845">
        <w:rPr>
          <w:rFonts w:ascii="Arial" w:hAnsi="Arial" w:cs="Arial"/>
          <w:sz w:val="24"/>
          <w:szCs w:val="24"/>
        </w:rPr>
        <w:t>rovision</w:t>
      </w:r>
      <w:r w:rsidRPr="00553845">
        <w:rPr>
          <w:rFonts w:ascii="Arial" w:hAnsi="Arial" w:cs="Arial"/>
          <w:sz w:val="24"/>
          <w:szCs w:val="24"/>
        </w:rPr>
        <w:t xml:space="preserve"> Statement</w:t>
      </w:r>
      <w:r w:rsidR="00731418" w:rsidRPr="00553845">
        <w:rPr>
          <w:rFonts w:ascii="Arial" w:hAnsi="Arial" w:cs="Arial"/>
          <w:sz w:val="24"/>
          <w:szCs w:val="24"/>
        </w:rPr>
        <w:t>.</w:t>
      </w:r>
      <w:r w:rsidR="00C80980" w:rsidRPr="00553845">
        <w:rPr>
          <w:rFonts w:ascii="Arial" w:hAnsi="Arial" w:cs="Arial"/>
          <w:sz w:val="24"/>
          <w:szCs w:val="24"/>
        </w:rPr>
        <w:t xml:space="preserve"> </w:t>
      </w:r>
      <w:r w:rsidRPr="00553845">
        <w:rPr>
          <w:rFonts w:ascii="Arial" w:hAnsi="Arial" w:cs="Arial"/>
          <w:sz w:val="24"/>
          <w:szCs w:val="24"/>
        </w:rPr>
        <w:t xml:space="preserve"> </w:t>
      </w:r>
    </w:p>
    <w:p w14:paraId="4BA3A33B" w14:textId="77777777" w:rsidR="000F4792" w:rsidRDefault="000F4792" w:rsidP="00EE05DD">
      <w:pPr>
        <w:spacing w:after="0" w:line="276" w:lineRule="auto"/>
        <w:jc w:val="both"/>
        <w:rPr>
          <w:rFonts w:ascii="Arial" w:hAnsi="Arial" w:cs="Arial"/>
          <w:b/>
          <w:sz w:val="24"/>
          <w:szCs w:val="24"/>
        </w:rPr>
      </w:pPr>
    </w:p>
    <w:p w14:paraId="09A6152C" w14:textId="33ED31C5" w:rsidR="00444E97" w:rsidRDefault="00EB265C" w:rsidP="00EE05DD">
      <w:pPr>
        <w:spacing w:after="0" w:line="276" w:lineRule="auto"/>
        <w:jc w:val="both"/>
        <w:rPr>
          <w:rFonts w:ascii="Arial" w:hAnsi="Arial" w:cs="Arial"/>
          <w:b/>
          <w:sz w:val="24"/>
          <w:szCs w:val="24"/>
        </w:rPr>
      </w:pPr>
      <w:r w:rsidRPr="00257CBC">
        <w:rPr>
          <w:rFonts w:ascii="Arial" w:hAnsi="Arial" w:cs="Arial"/>
          <w:b/>
          <w:sz w:val="24"/>
          <w:szCs w:val="24"/>
        </w:rPr>
        <w:t>C</w:t>
      </w:r>
      <w:r w:rsidR="00257CBC">
        <w:rPr>
          <w:rFonts w:ascii="Arial" w:hAnsi="Arial" w:cs="Arial"/>
          <w:b/>
          <w:sz w:val="24"/>
          <w:szCs w:val="24"/>
        </w:rPr>
        <w:t>apital Expenditure and Financing</w:t>
      </w:r>
    </w:p>
    <w:p w14:paraId="2D9B1F38" w14:textId="77777777" w:rsidR="00257CBC" w:rsidRPr="00257CBC" w:rsidRDefault="00257CBC" w:rsidP="00EE05DD">
      <w:pPr>
        <w:spacing w:after="0" w:line="276" w:lineRule="auto"/>
        <w:jc w:val="both"/>
        <w:rPr>
          <w:rFonts w:ascii="Arial" w:hAnsi="Arial" w:cs="Arial"/>
          <w:b/>
          <w:sz w:val="24"/>
          <w:szCs w:val="24"/>
        </w:rPr>
      </w:pPr>
    </w:p>
    <w:p w14:paraId="2F909F42" w14:textId="77777777" w:rsidR="00AD21E1" w:rsidRDefault="00736DD3" w:rsidP="00EE05DD">
      <w:pPr>
        <w:pStyle w:val="ListParagraph"/>
        <w:numPr>
          <w:ilvl w:val="0"/>
          <w:numId w:val="7"/>
        </w:numPr>
        <w:spacing w:after="0" w:line="276" w:lineRule="auto"/>
        <w:ind w:left="709" w:hanging="709"/>
        <w:jc w:val="both"/>
        <w:rPr>
          <w:rFonts w:ascii="Arial" w:hAnsi="Arial" w:cs="Arial"/>
          <w:sz w:val="24"/>
          <w:szCs w:val="24"/>
        </w:rPr>
      </w:pPr>
      <w:r w:rsidRPr="00AD21E1">
        <w:rPr>
          <w:rFonts w:ascii="Arial" w:hAnsi="Arial" w:cs="Arial"/>
          <w:sz w:val="24"/>
          <w:szCs w:val="24"/>
        </w:rPr>
        <w:t>Capital expenditure is where the Council spends money on assets</w:t>
      </w:r>
      <w:r w:rsidR="00444E97" w:rsidRPr="00AD21E1">
        <w:rPr>
          <w:rFonts w:ascii="Arial" w:hAnsi="Arial" w:cs="Arial"/>
          <w:sz w:val="24"/>
          <w:szCs w:val="24"/>
        </w:rPr>
        <w:t>, such as</w:t>
      </w:r>
      <w:r w:rsidR="000844EF" w:rsidRPr="00AD21E1">
        <w:rPr>
          <w:rFonts w:ascii="Arial" w:hAnsi="Arial" w:cs="Arial"/>
          <w:sz w:val="24"/>
          <w:szCs w:val="24"/>
        </w:rPr>
        <w:t xml:space="preserve"> </w:t>
      </w:r>
      <w:r w:rsidR="00763EBC" w:rsidRPr="00AD21E1">
        <w:rPr>
          <w:rFonts w:ascii="Arial" w:hAnsi="Arial" w:cs="Arial"/>
          <w:sz w:val="24"/>
          <w:szCs w:val="24"/>
        </w:rPr>
        <w:t xml:space="preserve">property or </w:t>
      </w:r>
      <w:r w:rsidR="004D1D81" w:rsidRPr="00AD21E1">
        <w:rPr>
          <w:rFonts w:ascii="Arial" w:hAnsi="Arial" w:cs="Arial"/>
          <w:sz w:val="24"/>
          <w:szCs w:val="24"/>
        </w:rPr>
        <w:t>vehicles that</w:t>
      </w:r>
      <w:r w:rsidRPr="00AD21E1">
        <w:rPr>
          <w:rFonts w:ascii="Arial" w:hAnsi="Arial" w:cs="Arial"/>
          <w:sz w:val="24"/>
          <w:szCs w:val="24"/>
        </w:rPr>
        <w:t xml:space="preserve"> will be used</w:t>
      </w:r>
      <w:r w:rsidR="00553845" w:rsidRPr="00AD21E1">
        <w:rPr>
          <w:rFonts w:ascii="Arial" w:hAnsi="Arial" w:cs="Arial"/>
          <w:sz w:val="24"/>
          <w:szCs w:val="24"/>
        </w:rPr>
        <w:t xml:space="preserve"> or provide a service</w:t>
      </w:r>
      <w:r w:rsidRPr="00AD21E1">
        <w:rPr>
          <w:rFonts w:ascii="Arial" w:hAnsi="Arial" w:cs="Arial"/>
          <w:sz w:val="24"/>
          <w:szCs w:val="24"/>
        </w:rPr>
        <w:t xml:space="preserve"> for </w:t>
      </w:r>
      <w:r w:rsidR="000A298C" w:rsidRPr="00AD21E1">
        <w:rPr>
          <w:rFonts w:ascii="Arial" w:hAnsi="Arial" w:cs="Arial"/>
          <w:sz w:val="24"/>
          <w:szCs w:val="24"/>
        </w:rPr>
        <w:t>more</w:t>
      </w:r>
      <w:r w:rsidRPr="00AD21E1">
        <w:rPr>
          <w:rFonts w:ascii="Arial" w:hAnsi="Arial" w:cs="Arial"/>
          <w:sz w:val="24"/>
          <w:szCs w:val="24"/>
        </w:rPr>
        <w:t xml:space="preserve"> than </w:t>
      </w:r>
      <w:r w:rsidR="000A298C" w:rsidRPr="00AD21E1">
        <w:rPr>
          <w:rFonts w:ascii="Arial" w:hAnsi="Arial" w:cs="Arial"/>
          <w:sz w:val="24"/>
          <w:szCs w:val="24"/>
        </w:rPr>
        <w:t xml:space="preserve">one </w:t>
      </w:r>
      <w:r w:rsidRPr="00AD21E1">
        <w:rPr>
          <w:rFonts w:ascii="Arial" w:hAnsi="Arial" w:cs="Arial"/>
          <w:sz w:val="24"/>
          <w:szCs w:val="24"/>
        </w:rPr>
        <w:t xml:space="preserve">year. In local government this includes spending on assets owned by other bodies, and loans and grants to other bodies </w:t>
      </w:r>
      <w:r w:rsidR="0038744F" w:rsidRPr="00AD21E1">
        <w:rPr>
          <w:rFonts w:ascii="Arial" w:hAnsi="Arial" w:cs="Arial"/>
          <w:sz w:val="24"/>
          <w:szCs w:val="24"/>
        </w:rPr>
        <w:t xml:space="preserve">enabling them </w:t>
      </w:r>
      <w:r w:rsidRPr="00AD21E1">
        <w:rPr>
          <w:rFonts w:ascii="Arial" w:hAnsi="Arial" w:cs="Arial"/>
          <w:sz w:val="24"/>
          <w:szCs w:val="24"/>
        </w:rPr>
        <w:t>to buy assets.</w:t>
      </w:r>
      <w:r w:rsidR="005662A0" w:rsidRPr="00AD21E1">
        <w:rPr>
          <w:rFonts w:ascii="Arial" w:hAnsi="Arial" w:cs="Arial"/>
          <w:sz w:val="24"/>
          <w:szCs w:val="24"/>
        </w:rPr>
        <w:t xml:space="preserve"> The Council has some limited discretion on what counts as capital expenditure, for example assets costing below £</w:t>
      </w:r>
      <w:r w:rsidR="004D6307" w:rsidRPr="00AD21E1">
        <w:rPr>
          <w:rFonts w:ascii="Arial" w:hAnsi="Arial" w:cs="Arial"/>
          <w:sz w:val="24"/>
          <w:szCs w:val="24"/>
        </w:rPr>
        <w:t>10,000</w:t>
      </w:r>
      <w:r w:rsidR="005662A0" w:rsidRPr="00AD21E1">
        <w:rPr>
          <w:rFonts w:ascii="Arial" w:hAnsi="Arial" w:cs="Arial"/>
          <w:sz w:val="24"/>
          <w:szCs w:val="24"/>
        </w:rPr>
        <w:t xml:space="preserve"> are not capitalised and</w:t>
      </w:r>
      <w:r w:rsidR="00A146CD" w:rsidRPr="00AD21E1">
        <w:rPr>
          <w:rFonts w:ascii="Arial" w:hAnsi="Arial" w:cs="Arial"/>
          <w:sz w:val="24"/>
          <w:szCs w:val="24"/>
        </w:rPr>
        <w:t xml:space="preserve"> are charged to revenue in year.</w:t>
      </w:r>
      <w:r w:rsidR="00AD21E1" w:rsidRPr="00AD21E1">
        <w:rPr>
          <w:rFonts w:ascii="Arial" w:hAnsi="Arial" w:cs="Arial"/>
          <w:sz w:val="24"/>
          <w:szCs w:val="24"/>
        </w:rPr>
        <w:t xml:space="preserve"> </w:t>
      </w:r>
      <w:r w:rsidR="00AD21E1">
        <w:rPr>
          <w:rFonts w:ascii="Arial" w:hAnsi="Arial" w:cs="Arial"/>
          <w:sz w:val="24"/>
          <w:szCs w:val="24"/>
        </w:rPr>
        <w:t xml:space="preserve"> </w:t>
      </w:r>
    </w:p>
    <w:p w14:paraId="180821E6" w14:textId="339C6661" w:rsidR="00444E97" w:rsidRDefault="00AD21E1" w:rsidP="00EE05DD">
      <w:pPr>
        <w:pStyle w:val="ListParagraph"/>
        <w:numPr>
          <w:ilvl w:val="0"/>
          <w:numId w:val="7"/>
        </w:numPr>
        <w:spacing w:after="0" w:line="276" w:lineRule="auto"/>
        <w:ind w:left="709" w:hanging="709"/>
        <w:jc w:val="both"/>
        <w:rPr>
          <w:rFonts w:ascii="Arial" w:hAnsi="Arial" w:cs="Arial"/>
          <w:sz w:val="24"/>
          <w:szCs w:val="24"/>
        </w:rPr>
      </w:pPr>
      <w:r>
        <w:rPr>
          <w:rFonts w:ascii="Arial" w:hAnsi="Arial" w:cs="Arial"/>
          <w:sz w:val="24"/>
          <w:szCs w:val="24"/>
        </w:rPr>
        <w:t>I</w:t>
      </w:r>
      <w:r w:rsidR="00736DD3" w:rsidRPr="00AD21E1">
        <w:rPr>
          <w:rFonts w:ascii="Arial" w:hAnsi="Arial" w:cs="Arial"/>
          <w:sz w:val="24"/>
          <w:szCs w:val="24"/>
        </w:rPr>
        <w:t xml:space="preserve">n 2019/20, the Council is planning capital expenditure of </w:t>
      </w:r>
      <w:r w:rsidR="00040CF9" w:rsidRPr="00AD21E1">
        <w:rPr>
          <w:rFonts w:ascii="Arial" w:hAnsi="Arial" w:cs="Arial"/>
          <w:sz w:val="24"/>
          <w:szCs w:val="24"/>
        </w:rPr>
        <w:t>£</w:t>
      </w:r>
      <w:r w:rsidR="005E4B92" w:rsidRPr="00AD21E1">
        <w:rPr>
          <w:rFonts w:ascii="Arial" w:hAnsi="Arial" w:cs="Arial"/>
          <w:sz w:val="24"/>
          <w:szCs w:val="24"/>
        </w:rPr>
        <w:t>124.2</w:t>
      </w:r>
      <w:r w:rsidR="00293098" w:rsidRPr="00AD21E1">
        <w:rPr>
          <w:rFonts w:ascii="Arial" w:hAnsi="Arial" w:cs="Arial"/>
          <w:sz w:val="24"/>
          <w:szCs w:val="24"/>
        </w:rPr>
        <w:t>6</w:t>
      </w:r>
      <w:r w:rsidR="005E4B92" w:rsidRPr="00AD21E1">
        <w:rPr>
          <w:rFonts w:ascii="Arial" w:hAnsi="Arial" w:cs="Arial"/>
          <w:sz w:val="24"/>
          <w:szCs w:val="24"/>
        </w:rPr>
        <w:t>m</w:t>
      </w:r>
      <w:r w:rsidR="00736DD3" w:rsidRPr="00AD21E1">
        <w:rPr>
          <w:rFonts w:ascii="Arial" w:hAnsi="Arial" w:cs="Arial"/>
          <w:sz w:val="24"/>
          <w:szCs w:val="24"/>
        </w:rPr>
        <w:t xml:space="preserve"> as summarised</w:t>
      </w:r>
      <w:r>
        <w:rPr>
          <w:rFonts w:ascii="Arial" w:hAnsi="Arial" w:cs="Arial"/>
          <w:sz w:val="24"/>
          <w:szCs w:val="24"/>
        </w:rPr>
        <w:t xml:space="preserve"> </w:t>
      </w:r>
      <w:r w:rsidR="00736DD3" w:rsidRPr="00AD21E1">
        <w:rPr>
          <w:rFonts w:ascii="Arial" w:hAnsi="Arial" w:cs="Arial"/>
          <w:sz w:val="24"/>
          <w:szCs w:val="24"/>
        </w:rPr>
        <w:t>below</w:t>
      </w:r>
      <w:r w:rsidR="004A47E5" w:rsidRPr="00AD21E1">
        <w:rPr>
          <w:rFonts w:ascii="Arial" w:hAnsi="Arial" w:cs="Arial"/>
          <w:sz w:val="24"/>
          <w:szCs w:val="24"/>
        </w:rPr>
        <w:t>:</w:t>
      </w:r>
    </w:p>
    <w:p w14:paraId="442866EC" w14:textId="77777777" w:rsidR="00EE05DD" w:rsidRPr="00AD21E1" w:rsidRDefault="00EE05DD" w:rsidP="00EE05DD">
      <w:pPr>
        <w:pStyle w:val="ListParagraph"/>
        <w:spacing w:after="0" w:line="276" w:lineRule="auto"/>
        <w:ind w:left="709"/>
        <w:jc w:val="both"/>
        <w:rPr>
          <w:rFonts w:ascii="Arial" w:hAnsi="Arial" w:cs="Arial"/>
          <w:sz w:val="24"/>
          <w:szCs w:val="24"/>
        </w:rPr>
      </w:pPr>
    </w:p>
    <w:p w14:paraId="52FBCA80" w14:textId="1560F70D" w:rsidR="00736DD3" w:rsidRPr="00844411" w:rsidRDefault="00736DD3" w:rsidP="00EE05DD">
      <w:pPr>
        <w:spacing w:after="200" w:line="276" w:lineRule="auto"/>
        <w:ind w:left="360"/>
        <w:contextualSpacing/>
        <w:jc w:val="both"/>
        <w:rPr>
          <w:rFonts w:ascii="Arial" w:hAnsi="Arial" w:cs="Arial"/>
          <w:b/>
          <w:sz w:val="24"/>
          <w:szCs w:val="24"/>
          <w:u w:val="single"/>
        </w:rPr>
      </w:pPr>
      <w:r w:rsidRPr="00844411">
        <w:rPr>
          <w:rFonts w:ascii="Arial" w:hAnsi="Arial" w:cs="Arial"/>
          <w:b/>
          <w:sz w:val="24"/>
          <w:szCs w:val="24"/>
          <w:u w:val="single"/>
        </w:rPr>
        <w:t>Table 1: Prudential Indicator: Estimates of Capital Expenditure</w:t>
      </w:r>
      <w:r w:rsidR="006C3C8A" w:rsidRPr="00844411">
        <w:rPr>
          <w:rFonts w:ascii="Arial" w:hAnsi="Arial" w:cs="Arial"/>
          <w:b/>
          <w:sz w:val="24"/>
          <w:szCs w:val="24"/>
          <w:u w:val="single"/>
        </w:rPr>
        <w:t xml:space="preserve"> </w:t>
      </w:r>
    </w:p>
    <w:tbl>
      <w:tblPr>
        <w:tblStyle w:val="TableGrid"/>
        <w:tblW w:w="6280" w:type="dxa"/>
        <w:tblInd w:w="817" w:type="dxa"/>
        <w:tblLook w:val="04A0" w:firstRow="1" w:lastRow="0" w:firstColumn="1" w:lastColumn="0" w:noHBand="0" w:noVBand="1"/>
      </w:tblPr>
      <w:tblGrid>
        <w:gridCol w:w="1844"/>
        <w:gridCol w:w="1012"/>
        <w:gridCol w:w="1145"/>
        <w:gridCol w:w="1139"/>
        <w:gridCol w:w="1140"/>
      </w:tblGrid>
      <w:tr w:rsidR="002E0BB4" w:rsidRPr="00D85345" w14:paraId="70C833B7" w14:textId="5022505D" w:rsidTr="00EE05DD">
        <w:tc>
          <w:tcPr>
            <w:tcW w:w="1844" w:type="dxa"/>
            <w:shd w:val="clear" w:color="auto" w:fill="BFBFBF" w:themeFill="background1" w:themeFillShade="BF"/>
          </w:tcPr>
          <w:p w14:paraId="790BE757" w14:textId="77777777" w:rsidR="002E0BB4" w:rsidRPr="009E2937" w:rsidRDefault="002E0BB4" w:rsidP="00EE05DD">
            <w:pPr>
              <w:spacing w:before="60" w:after="60" w:line="276" w:lineRule="auto"/>
              <w:jc w:val="both"/>
              <w:rPr>
                <w:rFonts w:ascii="Arial" w:hAnsi="Arial" w:cs="Arial"/>
              </w:rPr>
            </w:pPr>
          </w:p>
        </w:tc>
        <w:tc>
          <w:tcPr>
            <w:tcW w:w="1012" w:type="dxa"/>
            <w:shd w:val="clear" w:color="auto" w:fill="BFBFBF" w:themeFill="background1" w:themeFillShade="BF"/>
            <w:vAlign w:val="center"/>
          </w:tcPr>
          <w:p w14:paraId="3936CAF9" w14:textId="105745B0" w:rsidR="002E0BB4" w:rsidRPr="008003A0" w:rsidRDefault="002E0BB4" w:rsidP="00EE05DD">
            <w:pPr>
              <w:spacing w:before="60" w:after="60" w:line="276" w:lineRule="auto"/>
              <w:jc w:val="both"/>
              <w:rPr>
                <w:rFonts w:ascii="Arial" w:hAnsi="Arial" w:cs="Arial"/>
                <w:b/>
              </w:rPr>
            </w:pPr>
            <w:r w:rsidRPr="008003A0">
              <w:rPr>
                <w:rFonts w:ascii="Arial" w:hAnsi="Arial" w:cs="Arial"/>
                <w:b/>
              </w:rPr>
              <w:t>201</w:t>
            </w:r>
            <w:r>
              <w:rPr>
                <w:rFonts w:ascii="Arial" w:hAnsi="Arial" w:cs="Arial"/>
                <w:b/>
              </w:rPr>
              <w:t>7</w:t>
            </w:r>
            <w:r w:rsidRPr="008003A0">
              <w:rPr>
                <w:rFonts w:ascii="Arial" w:hAnsi="Arial" w:cs="Arial"/>
                <w:b/>
              </w:rPr>
              <w:t>/</w:t>
            </w:r>
            <w:r>
              <w:rPr>
                <w:rFonts w:ascii="Arial" w:hAnsi="Arial" w:cs="Arial"/>
                <w:b/>
              </w:rPr>
              <w:t>18</w:t>
            </w:r>
            <w:r w:rsidRPr="008003A0">
              <w:rPr>
                <w:rFonts w:ascii="Arial" w:hAnsi="Arial" w:cs="Arial"/>
                <w:b/>
              </w:rPr>
              <w:t xml:space="preserve"> </w:t>
            </w:r>
            <w:r>
              <w:rPr>
                <w:rFonts w:ascii="Arial" w:hAnsi="Arial" w:cs="Arial"/>
                <w:b/>
              </w:rPr>
              <w:t>actual</w:t>
            </w:r>
          </w:p>
          <w:p w14:paraId="58B6FD0C" w14:textId="061584F5" w:rsidR="002E0BB4" w:rsidRPr="008003A0" w:rsidRDefault="002E0BB4" w:rsidP="00EE05DD">
            <w:pPr>
              <w:spacing w:before="60" w:after="60" w:line="276" w:lineRule="auto"/>
              <w:jc w:val="both"/>
              <w:rPr>
                <w:rFonts w:ascii="Arial" w:hAnsi="Arial" w:cs="Arial"/>
                <w:b/>
              </w:rPr>
            </w:pPr>
            <w:r>
              <w:rPr>
                <w:rFonts w:ascii="Arial" w:hAnsi="Arial" w:cs="Arial"/>
                <w:b/>
              </w:rPr>
              <w:t>£m</w:t>
            </w:r>
          </w:p>
        </w:tc>
        <w:tc>
          <w:tcPr>
            <w:tcW w:w="1145" w:type="dxa"/>
            <w:shd w:val="clear" w:color="auto" w:fill="BFBFBF" w:themeFill="background1" w:themeFillShade="BF"/>
          </w:tcPr>
          <w:p w14:paraId="74FDD10C" w14:textId="041516FC" w:rsidR="002E0BB4" w:rsidRPr="008003A0" w:rsidRDefault="002E0BB4" w:rsidP="00EE05DD">
            <w:pPr>
              <w:spacing w:before="60" w:after="60" w:line="276" w:lineRule="auto"/>
              <w:jc w:val="both"/>
              <w:rPr>
                <w:rFonts w:ascii="Arial" w:hAnsi="Arial" w:cs="Arial"/>
                <w:b/>
              </w:rPr>
            </w:pPr>
            <w:r w:rsidRPr="008003A0">
              <w:rPr>
                <w:rFonts w:ascii="Arial" w:hAnsi="Arial" w:cs="Arial"/>
                <w:b/>
              </w:rPr>
              <w:t xml:space="preserve">2018/19 </w:t>
            </w:r>
            <w:r>
              <w:rPr>
                <w:rFonts w:ascii="Arial" w:hAnsi="Arial" w:cs="Arial"/>
                <w:b/>
              </w:rPr>
              <w:t>estimate</w:t>
            </w:r>
          </w:p>
          <w:p w14:paraId="7F16ACB7" w14:textId="48499DFD" w:rsidR="002E0BB4" w:rsidRPr="008003A0" w:rsidRDefault="002E0BB4" w:rsidP="00EE05DD">
            <w:pPr>
              <w:spacing w:before="60" w:after="60" w:line="276" w:lineRule="auto"/>
              <w:jc w:val="both"/>
              <w:rPr>
                <w:rFonts w:ascii="Arial" w:hAnsi="Arial" w:cs="Arial"/>
                <w:b/>
              </w:rPr>
            </w:pPr>
            <w:r w:rsidRPr="008003A0">
              <w:rPr>
                <w:rFonts w:ascii="Arial" w:hAnsi="Arial" w:cs="Arial"/>
                <w:b/>
              </w:rPr>
              <w:t>£m</w:t>
            </w:r>
          </w:p>
        </w:tc>
        <w:tc>
          <w:tcPr>
            <w:tcW w:w="1139" w:type="dxa"/>
            <w:shd w:val="clear" w:color="auto" w:fill="BFBFBF" w:themeFill="background1" w:themeFillShade="BF"/>
          </w:tcPr>
          <w:p w14:paraId="42F1370B" w14:textId="77777777" w:rsidR="002E0BB4" w:rsidRPr="008003A0" w:rsidRDefault="002E0BB4" w:rsidP="00EE05DD">
            <w:pPr>
              <w:spacing w:before="60" w:after="60" w:line="276" w:lineRule="auto"/>
              <w:jc w:val="both"/>
              <w:rPr>
                <w:rFonts w:ascii="Arial" w:hAnsi="Arial" w:cs="Arial"/>
                <w:b/>
              </w:rPr>
            </w:pPr>
            <w:r w:rsidRPr="008003A0">
              <w:rPr>
                <w:rFonts w:ascii="Arial" w:hAnsi="Arial" w:cs="Arial"/>
                <w:b/>
              </w:rPr>
              <w:t>2019/20 budget</w:t>
            </w:r>
          </w:p>
          <w:p w14:paraId="23ECF63F" w14:textId="3AD97AB0" w:rsidR="002E0BB4" w:rsidRPr="00F866F0" w:rsidRDefault="002E0BB4" w:rsidP="00EE05DD">
            <w:pPr>
              <w:spacing w:before="60" w:after="60" w:line="276" w:lineRule="auto"/>
              <w:jc w:val="both"/>
              <w:rPr>
                <w:rFonts w:ascii="Arial" w:hAnsi="Arial" w:cs="Arial"/>
                <w:b/>
                <w:highlight w:val="cyan"/>
              </w:rPr>
            </w:pPr>
            <w:r>
              <w:rPr>
                <w:rFonts w:ascii="Arial" w:hAnsi="Arial" w:cs="Arial"/>
                <w:b/>
              </w:rPr>
              <w:t>£m</w:t>
            </w:r>
          </w:p>
        </w:tc>
        <w:tc>
          <w:tcPr>
            <w:tcW w:w="1140" w:type="dxa"/>
            <w:shd w:val="clear" w:color="auto" w:fill="BFBFBF" w:themeFill="background1" w:themeFillShade="BF"/>
          </w:tcPr>
          <w:p w14:paraId="1163291E" w14:textId="77777777" w:rsidR="002E0BB4" w:rsidRPr="008003A0" w:rsidRDefault="002E0BB4" w:rsidP="00EE05DD">
            <w:pPr>
              <w:spacing w:before="60" w:after="60" w:line="276" w:lineRule="auto"/>
              <w:jc w:val="both"/>
              <w:rPr>
                <w:rFonts w:ascii="Arial" w:hAnsi="Arial" w:cs="Arial"/>
                <w:b/>
              </w:rPr>
            </w:pPr>
            <w:r w:rsidRPr="008003A0">
              <w:rPr>
                <w:rFonts w:ascii="Arial" w:hAnsi="Arial" w:cs="Arial"/>
                <w:b/>
              </w:rPr>
              <w:t>2020/21 budget</w:t>
            </w:r>
          </w:p>
          <w:p w14:paraId="54AF9BD6" w14:textId="242D3160" w:rsidR="002E0BB4" w:rsidRPr="00F866F0" w:rsidRDefault="002E0BB4" w:rsidP="00EE05DD">
            <w:pPr>
              <w:spacing w:before="60" w:after="60" w:line="276" w:lineRule="auto"/>
              <w:jc w:val="both"/>
              <w:rPr>
                <w:rFonts w:ascii="Arial" w:hAnsi="Arial" w:cs="Arial"/>
                <w:b/>
                <w:highlight w:val="cyan"/>
              </w:rPr>
            </w:pPr>
            <w:r>
              <w:rPr>
                <w:rFonts w:ascii="Arial" w:hAnsi="Arial" w:cs="Arial"/>
                <w:b/>
              </w:rPr>
              <w:t>£m</w:t>
            </w:r>
          </w:p>
        </w:tc>
      </w:tr>
      <w:tr w:rsidR="002E0BB4" w:rsidRPr="00D85345" w14:paraId="23A432AE" w14:textId="5EB67549" w:rsidTr="00EE05DD">
        <w:tc>
          <w:tcPr>
            <w:tcW w:w="1844" w:type="dxa"/>
          </w:tcPr>
          <w:p w14:paraId="4B74F46F" w14:textId="1BE17FB2" w:rsidR="002E0BB4" w:rsidRPr="009E2937" w:rsidRDefault="002E0BB4" w:rsidP="00EE05DD">
            <w:pPr>
              <w:spacing w:before="60" w:after="60" w:line="276" w:lineRule="auto"/>
              <w:jc w:val="both"/>
              <w:rPr>
                <w:rFonts w:ascii="Arial" w:hAnsi="Arial" w:cs="Arial"/>
              </w:rPr>
            </w:pPr>
            <w:r w:rsidRPr="009E2937">
              <w:rPr>
                <w:rFonts w:ascii="Arial" w:hAnsi="Arial" w:cs="Arial"/>
              </w:rPr>
              <w:t>General Fund services</w:t>
            </w:r>
          </w:p>
        </w:tc>
        <w:tc>
          <w:tcPr>
            <w:tcW w:w="1012" w:type="dxa"/>
          </w:tcPr>
          <w:p w14:paraId="60D21107" w14:textId="0E8245A9" w:rsidR="002E0BB4" w:rsidRPr="00EE05DD" w:rsidRDefault="002E0BB4" w:rsidP="00EE05DD">
            <w:pPr>
              <w:spacing w:before="60" w:after="60" w:line="276" w:lineRule="auto"/>
              <w:jc w:val="both"/>
              <w:rPr>
                <w:rFonts w:ascii="Arial" w:hAnsi="Arial" w:cs="Arial"/>
              </w:rPr>
            </w:pPr>
            <w:r w:rsidRPr="00EE05DD">
              <w:rPr>
                <w:rFonts w:ascii="Arial" w:hAnsi="Arial" w:cs="Arial"/>
                <w:b/>
                <w:bCs/>
              </w:rPr>
              <w:t>82,254</w:t>
            </w:r>
          </w:p>
        </w:tc>
        <w:tc>
          <w:tcPr>
            <w:tcW w:w="1145" w:type="dxa"/>
          </w:tcPr>
          <w:p w14:paraId="75E4170D" w14:textId="4CFAAD76" w:rsidR="002E0BB4" w:rsidRPr="00EE05DD" w:rsidRDefault="002E0BB4" w:rsidP="00EE05DD">
            <w:pPr>
              <w:spacing w:before="60" w:after="60" w:line="276" w:lineRule="auto"/>
              <w:jc w:val="both"/>
              <w:rPr>
                <w:rFonts w:ascii="Arial" w:hAnsi="Arial" w:cs="Arial"/>
              </w:rPr>
            </w:pPr>
            <w:r w:rsidRPr="00EE05DD">
              <w:rPr>
                <w:rFonts w:ascii="Arial" w:hAnsi="Arial" w:cs="Arial"/>
                <w:b/>
                <w:bCs/>
              </w:rPr>
              <w:t>131,496</w:t>
            </w:r>
          </w:p>
        </w:tc>
        <w:tc>
          <w:tcPr>
            <w:tcW w:w="1139" w:type="dxa"/>
            <w:shd w:val="clear" w:color="auto" w:fill="E7E6E6" w:themeFill="background2"/>
          </w:tcPr>
          <w:p w14:paraId="4A5541F0" w14:textId="15FC8BC5" w:rsidR="002E0BB4" w:rsidRPr="00EE05DD" w:rsidRDefault="002E0BB4" w:rsidP="00EE05DD">
            <w:pPr>
              <w:spacing w:before="60" w:after="60" w:line="276" w:lineRule="auto"/>
              <w:jc w:val="both"/>
              <w:rPr>
                <w:rFonts w:ascii="Arial" w:hAnsi="Arial" w:cs="Arial"/>
                <w:highlight w:val="cyan"/>
              </w:rPr>
            </w:pPr>
            <w:r w:rsidRPr="00EE05DD">
              <w:rPr>
                <w:rFonts w:ascii="Arial" w:hAnsi="Arial" w:cs="Arial"/>
                <w:b/>
                <w:bCs/>
              </w:rPr>
              <w:t>97,674</w:t>
            </w:r>
          </w:p>
        </w:tc>
        <w:tc>
          <w:tcPr>
            <w:tcW w:w="1140" w:type="dxa"/>
          </w:tcPr>
          <w:p w14:paraId="43CF6389" w14:textId="01BA06A0" w:rsidR="002E0BB4" w:rsidRPr="00EE05DD" w:rsidRDefault="002E0BB4" w:rsidP="00EE05DD">
            <w:pPr>
              <w:spacing w:before="60" w:after="60" w:line="276" w:lineRule="auto"/>
              <w:jc w:val="both"/>
              <w:rPr>
                <w:rFonts w:ascii="Arial" w:hAnsi="Arial" w:cs="Arial"/>
                <w:highlight w:val="cyan"/>
              </w:rPr>
            </w:pPr>
            <w:r w:rsidRPr="00EE05DD">
              <w:rPr>
                <w:rFonts w:ascii="Arial" w:hAnsi="Arial" w:cs="Arial"/>
                <w:b/>
                <w:bCs/>
              </w:rPr>
              <w:t>39,381</w:t>
            </w:r>
          </w:p>
        </w:tc>
      </w:tr>
      <w:tr w:rsidR="002E0BB4" w:rsidRPr="00D85345" w14:paraId="09420ED7" w14:textId="59D35DC5" w:rsidTr="00EE05DD">
        <w:tc>
          <w:tcPr>
            <w:tcW w:w="1844" w:type="dxa"/>
          </w:tcPr>
          <w:p w14:paraId="6D38FD59" w14:textId="74FD3EC3" w:rsidR="002E0BB4" w:rsidRPr="009E2937" w:rsidRDefault="002E0BB4" w:rsidP="00EE05DD">
            <w:pPr>
              <w:spacing w:before="60" w:after="60" w:line="276" w:lineRule="auto"/>
              <w:jc w:val="both"/>
              <w:rPr>
                <w:rFonts w:ascii="Arial" w:hAnsi="Arial" w:cs="Arial"/>
              </w:rPr>
            </w:pPr>
            <w:r w:rsidRPr="009E2937">
              <w:rPr>
                <w:rFonts w:ascii="Arial" w:hAnsi="Arial" w:cs="Arial"/>
              </w:rPr>
              <w:t>H</w:t>
            </w:r>
            <w:r>
              <w:rPr>
                <w:rFonts w:ascii="Arial" w:hAnsi="Arial" w:cs="Arial"/>
              </w:rPr>
              <w:t xml:space="preserve">ousing </w:t>
            </w:r>
            <w:r w:rsidRPr="009E2937">
              <w:rPr>
                <w:rFonts w:ascii="Arial" w:hAnsi="Arial" w:cs="Arial"/>
              </w:rPr>
              <w:t>R</w:t>
            </w:r>
            <w:r>
              <w:rPr>
                <w:rFonts w:ascii="Arial" w:hAnsi="Arial" w:cs="Arial"/>
              </w:rPr>
              <w:t xml:space="preserve">evenue </w:t>
            </w:r>
            <w:r w:rsidRPr="009E2937">
              <w:rPr>
                <w:rFonts w:ascii="Arial" w:hAnsi="Arial" w:cs="Arial"/>
              </w:rPr>
              <w:t>A</w:t>
            </w:r>
            <w:r>
              <w:rPr>
                <w:rFonts w:ascii="Arial" w:hAnsi="Arial" w:cs="Arial"/>
              </w:rPr>
              <w:t>ccount (HRA</w:t>
            </w:r>
            <w:r w:rsidRPr="009E2937">
              <w:rPr>
                <w:rFonts w:ascii="Arial" w:hAnsi="Arial" w:cs="Arial"/>
              </w:rPr>
              <w:t>)</w:t>
            </w:r>
          </w:p>
        </w:tc>
        <w:tc>
          <w:tcPr>
            <w:tcW w:w="1012" w:type="dxa"/>
          </w:tcPr>
          <w:p w14:paraId="3E5C2BC1" w14:textId="14CF728E" w:rsidR="002E0BB4" w:rsidRPr="00EE05DD" w:rsidRDefault="002E0BB4" w:rsidP="00EE05DD">
            <w:pPr>
              <w:spacing w:before="60" w:after="60" w:line="276" w:lineRule="auto"/>
              <w:jc w:val="both"/>
              <w:rPr>
                <w:rFonts w:ascii="Arial" w:hAnsi="Arial" w:cs="Arial"/>
              </w:rPr>
            </w:pPr>
            <w:r w:rsidRPr="00EE05DD">
              <w:rPr>
                <w:rFonts w:ascii="Arial" w:hAnsi="Arial" w:cs="Arial"/>
                <w:b/>
                <w:bCs/>
              </w:rPr>
              <w:t>11,877</w:t>
            </w:r>
          </w:p>
        </w:tc>
        <w:tc>
          <w:tcPr>
            <w:tcW w:w="1145" w:type="dxa"/>
          </w:tcPr>
          <w:p w14:paraId="71075EA8" w14:textId="1FFCB74F" w:rsidR="002E0BB4" w:rsidRPr="00EE05DD" w:rsidRDefault="001F0D3D" w:rsidP="00EE05DD">
            <w:pPr>
              <w:spacing w:before="60" w:after="60" w:line="276" w:lineRule="auto"/>
              <w:jc w:val="both"/>
              <w:rPr>
                <w:rFonts w:ascii="Arial" w:hAnsi="Arial" w:cs="Arial"/>
              </w:rPr>
            </w:pPr>
            <w:r>
              <w:rPr>
                <w:rFonts w:ascii="Arial" w:hAnsi="Arial" w:cs="Arial"/>
                <w:b/>
                <w:bCs/>
              </w:rPr>
              <w:t xml:space="preserve">  </w:t>
            </w:r>
            <w:r w:rsidR="002E0BB4" w:rsidRPr="00EE05DD">
              <w:rPr>
                <w:rFonts w:ascii="Arial" w:hAnsi="Arial" w:cs="Arial"/>
                <w:b/>
                <w:bCs/>
              </w:rPr>
              <w:t>17,379</w:t>
            </w:r>
          </w:p>
        </w:tc>
        <w:tc>
          <w:tcPr>
            <w:tcW w:w="1139" w:type="dxa"/>
            <w:shd w:val="clear" w:color="auto" w:fill="E7E6E6" w:themeFill="background2"/>
          </w:tcPr>
          <w:p w14:paraId="42C7412D" w14:textId="6F6F9732" w:rsidR="002E0BB4" w:rsidRPr="00EE05DD" w:rsidRDefault="002E0BB4" w:rsidP="00EE05DD">
            <w:pPr>
              <w:spacing w:before="60" w:after="60" w:line="276" w:lineRule="auto"/>
              <w:jc w:val="both"/>
              <w:rPr>
                <w:rFonts w:ascii="Arial" w:hAnsi="Arial" w:cs="Arial"/>
                <w:highlight w:val="cyan"/>
              </w:rPr>
            </w:pPr>
            <w:r w:rsidRPr="00EE05DD">
              <w:rPr>
                <w:rFonts w:ascii="Arial" w:hAnsi="Arial" w:cs="Arial"/>
                <w:b/>
                <w:bCs/>
              </w:rPr>
              <w:t>26,586</w:t>
            </w:r>
          </w:p>
        </w:tc>
        <w:tc>
          <w:tcPr>
            <w:tcW w:w="1140" w:type="dxa"/>
          </w:tcPr>
          <w:p w14:paraId="711C35C9" w14:textId="0481D21C" w:rsidR="002E0BB4" w:rsidRPr="00EE05DD" w:rsidRDefault="002E0BB4" w:rsidP="00EE05DD">
            <w:pPr>
              <w:spacing w:before="60" w:after="60" w:line="276" w:lineRule="auto"/>
              <w:jc w:val="both"/>
              <w:rPr>
                <w:rFonts w:ascii="Arial" w:hAnsi="Arial" w:cs="Arial"/>
                <w:highlight w:val="cyan"/>
              </w:rPr>
            </w:pPr>
            <w:r w:rsidRPr="00EE05DD">
              <w:rPr>
                <w:rFonts w:ascii="Arial" w:hAnsi="Arial" w:cs="Arial"/>
                <w:b/>
                <w:bCs/>
              </w:rPr>
              <w:t>44,462</w:t>
            </w:r>
          </w:p>
        </w:tc>
      </w:tr>
      <w:tr w:rsidR="002E0BB4" w:rsidRPr="00D85345" w14:paraId="2A1CBDA3" w14:textId="08E285B1" w:rsidTr="00EE05DD">
        <w:trPr>
          <w:trHeight w:val="417"/>
        </w:trPr>
        <w:tc>
          <w:tcPr>
            <w:tcW w:w="1844" w:type="dxa"/>
            <w:shd w:val="clear" w:color="auto" w:fill="BFBFBF" w:themeFill="background1" w:themeFillShade="BF"/>
          </w:tcPr>
          <w:p w14:paraId="434A9BA2" w14:textId="4AB22E0D" w:rsidR="002E0BB4" w:rsidRPr="009E2937" w:rsidRDefault="002E0BB4" w:rsidP="00EE05DD">
            <w:pPr>
              <w:spacing w:before="60" w:after="60" w:line="276" w:lineRule="auto"/>
              <w:jc w:val="both"/>
              <w:rPr>
                <w:rFonts w:ascii="Arial" w:hAnsi="Arial" w:cs="Arial"/>
                <w:b/>
              </w:rPr>
            </w:pPr>
            <w:r w:rsidRPr="009E2937">
              <w:rPr>
                <w:rFonts w:ascii="Arial" w:hAnsi="Arial" w:cs="Arial"/>
                <w:b/>
              </w:rPr>
              <w:t>TOTAL</w:t>
            </w:r>
          </w:p>
        </w:tc>
        <w:tc>
          <w:tcPr>
            <w:tcW w:w="1012" w:type="dxa"/>
            <w:shd w:val="clear" w:color="auto" w:fill="BFBFBF" w:themeFill="background1" w:themeFillShade="BF"/>
          </w:tcPr>
          <w:p w14:paraId="20416979" w14:textId="535133DA" w:rsidR="002E0BB4" w:rsidRPr="00EE05DD" w:rsidRDefault="002E0BB4" w:rsidP="00EE05DD">
            <w:pPr>
              <w:spacing w:before="60" w:after="60" w:line="276" w:lineRule="auto"/>
              <w:jc w:val="both"/>
              <w:rPr>
                <w:rFonts w:ascii="Arial" w:hAnsi="Arial" w:cs="Arial"/>
                <w:b/>
              </w:rPr>
            </w:pPr>
            <w:r w:rsidRPr="00EE05DD">
              <w:rPr>
                <w:rFonts w:ascii="Arial" w:hAnsi="Arial" w:cs="Arial"/>
                <w:b/>
                <w:bCs/>
              </w:rPr>
              <w:t>94,131</w:t>
            </w:r>
          </w:p>
        </w:tc>
        <w:tc>
          <w:tcPr>
            <w:tcW w:w="1145" w:type="dxa"/>
            <w:shd w:val="clear" w:color="auto" w:fill="BFBFBF" w:themeFill="background1" w:themeFillShade="BF"/>
          </w:tcPr>
          <w:p w14:paraId="087815B6" w14:textId="28FC6D14" w:rsidR="002E0BB4" w:rsidRPr="00EE05DD" w:rsidRDefault="002E0BB4" w:rsidP="00EE05DD">
            <w:pPr>
              <w:spacing w:before="60" w:after="60" w:line="276" w:lineRule="auto"/>
              <w:jc w:val="both"/>
              <w:rPr>
                <w:rFonts w:ascii="Arial" w:hAnsi="Arial" w:cs="Arial"/>
                <w:b/>
              </w:rPr>
            </w:pPr>
            <w:r w:rsidRPr="00EE05DD">
              <w:rPr>
                <w:rFonts w:ascii="Arial" w:hAnsi="Arial" w:cs="Arial"/>
                <w:b/>
                <w:bCs/>
              </w:rPr>
              <w:t>148,875</w:t>
            </w:r>
          </w:p>
        </w:tc>
        <w:tc>
          <w:tcPr>
            <w:tcW w:w="1139" w:type="dxa"/>
            <w:shd w:val="clear" w:color="auto" w:fill="BFBFBF" w:themeFill="background1" w:themeFillShade="BF"/>
          </w:tcPr>
          <w:p w14:paraId="01E596ED" w14:textId="24DEE813" w:rsidR="002E0BB4" w:rsidRPr="00EE05DD" w:rsidRDefault="002E0BB4" w:rsidP="00EE05DD">
            <w:pPr>
              <w:spacing w:before="60" w:after="60" w:line="276" w:lineRule="auto"/>
              <w:jc w:val="both"/>
              <w:rPr>
                <w:rFonts w:ascii="Arial" w:hAnsi="Arial" w:cs="Arial"/>
                <w:b/>
                <w:highlight w:val="cyan"/>
              </w:rPr>
            </w:pPr>
            <w:r w:rsidRPr="00EE05DD">
              <w:rPr>
                <w:rFonts w:ascii="Arial" w:hAnsi="Arial" w:cs="Arial"/>
                <w:b/>
                <w:bCs/>
              </w:rPr>
              <w:t>124,260</w:t>
            </w:r>
          </w:p>
        </w:tc>
        <w:tc>
          <w:tcPr>
            <w:tcW w:w="1140" w:type="dxa"/>
            <w:shd w:val="clear" w:color="auto" w:fill="BFBFBF" w:themeFill="background1" w:themeFillShade="BF"/>
          </w:tcPr>
          <w:p w14:paraId="5FDBB13A" w14:textId="5B315AC5" w:rsidR="002E0BB4" w:rsidRPr="00EE05DD" w:rsidRDefault="002E0BB4" w:rsidP="00EE05DD">
            <w:pPr>
              <w:spacing w:before="60" w:after="60" w:line="276" w:lineRule="auto"/>
              <w:jc w:val="both"/>
              <w:rPr>
                <w:rFonts w:ascii="Arial" w:hAnsi="Arial" w:cs="Arial"/>
                <w:b/>
                <w:highlight w:val="cyan"/>
              </w:rPr>
            </w:pPr>
            <w:r w:rsidRPr="00EE05DD">
              <w:rPr>
                <w:rFonts w:ascii="Arial" w:hAnsi="Arial" w:cs="Arial"/>
                <w:b/>
                <w:bCs/>
              </w:rPr>
              <w:t>83,843</w:t>
            </w:r>
          </w:p>
        </w:tc>
      </w:tr>
    </w:tbl>
    <w:p w14:paraId="27DFDB71" w14:textId="77777777" w:rsidR="00A07CB6" w:rsidRPr="00D85345" w:rsidRDefault="00A07CB6" w:rsidP="00EE05DD">
      <w:pPr>
        <w:spacing w:after="0" w:line="276" w:lineRule="auto"/>
        <w:jc w:val="both"/>
        <w:rPr>
          <w:rFonts w:ascii="Arial" w:hAnsi="Arial" w:cs="Arial"/>
          <w:i/>
          <w:color w:val="AF173B"/>
          <w:sz w:val="24"/>
          <w:szCs w:val="24"/>
        </w:rPr>
      </w:pPr>
    </w:p>
    <w:p w14:paraId="2D8ED42C" w14:textId="44D15262" w:rsidR="000844EF" w:rsidRDefault="00B66222" w:rsidP="00EE05DD">
      <w:pPr>
        <w:pStyle w:val="ListParagraph"/>
        <w:numPr>
          <w:ilvl w:val="0"/>
          <w:numId w:val="7"/>
        </w:numPr>
        <w:spacing w:after="0" w:line="276" w:lineRule="auto"/>
        <w:ind w:left="851" w:hanging="851"/>
        <w:jc w:val="both"/>
        <w:rPr>
          <w:rFonts w:ascii="Arial" w:hAnsi="Arial" w:cs="Arial"/>
          <w:sz w:val="24"/>
          <w:szCs w:val="24"/>
        </w:rPr>
      </w:pPr>
      <w:r>
        <w:rPr>
          <w:rFonts w:ascii="Arial" w:hAnsi="Arial" w:cs="Arial"/>
          <w:sz w:val="24"/>
          <w:szCs w:val="24"/>
        </w:rPr>
        <w:lastRenderedPageBreak/>
        <w:t>T</w:t>
      </w:r>
      <w:r w:rsidR="0053035C">
        <w:rPr>
          <w:rFonts w:ascii="Arial" w:hAnsi="Arial" w:cs="Arial"/>
          <w:sz w:val="24"/>
          <w:szCs w:val="24"/>
        </w:rPr>
        <w:t>h</w:t>
      </w:r>
      <w:r w:rsidR="004A47E5" w:rsidRPr="00040CF9">
        <w:rPr>
          <w:rFonts w:ascii="Arial" w:hAnsi="Arial" w:cs="Arial"/>
          <w:sz w:val="24"/>
          <w:szCs w:val="24"/>
        </w:rPr>
        <w:t xml:space="preserve">e Council </w:t>
      </w:r>
      <w:r w:rsidR="0053035C">
        <w:rPr>
          <w:rFonts w:ascii="Arial" w:hAnsi="Arial" w:cs="Arial"/>
          <w:sz w:val="24"/>
          <w:szCs w:val="24"/>
        </w:rPr>
        <w:t xml:space="preserve">has </w:t>
      </w:r>
      <w:r w:rsidR="007D378A">
        <w:rPr>
          <w:rFonts w:ascii="Arial" w:hAnsi="Arial" w:cs="Arial"/>
          <w:sz w:val="24"/>
          <w:szCs w:val="24"/>
        </w:rPr>
        <w:t>spent £17m capital</w:t>
      </w:r>
      <w:r w:rsidR="004A47E5" w:rsidRPr="00040CF9">
        <w:rPr>
          <w:rFonts w:ascii="Arial" w:hAnsi="Arial" w:cs="Arial"/>
          <w:sz w:val="24"/>
          <w:szCs w:val="24"/>
        </w:rPr>
        <w:t xml:space="preserve"> expenditure</w:t>
      </w:r>
      <w:r w:rsidR="0053035C">
        <w:rPr>
          <w:rFonts w:ascii="Arial" w:hAnsi="Arial" w:cs="Arial"/>
          <w:sz w:val="24"/>
          <w:szCs w:val="24"/>
        </w:rPr>
        <w:t xml:space="preserve"> </w:t>
      </w:r>
      <w:r w:rsidR="007D378A" w:rsidRPr="00040CF9">
        <w:rPr>
          <w:rFonts w:ascii="Arial" w:hAnsi="Arial" w:cs="Arial"/>
          <w:sz w:val="24"/>
          <w:szCs w:val="24"/>
        </w:rPr>
        <w:t>on commercial</w:t>
      </w:r>
      <w:r w:rsidR="00040CF9" w:rsidRPr="00040CF9">
        <w:rPr>
          <w:rFonts w:ascii="Arial" w:hAnsi="Arial" w:cs="Arial"/>
          <w:sz w:val="24"/>
          <w:szCs w:val="24"/>
        </w:rPr>
        <w:t xml:space="preserve"> </w:t>
      </w:r>
      <w:r w:rsidR="00F448C6" w:rsidRPr="00040CF9">
        <w:rPr>
          <w:rFonts w:ascii="Arial" w:hAnsi="Arial" w:cs="Arial"/>
          <w:sz w:val="24"/>
          <w:szCs w:val="24"/>
        </w:rPr>
        <w:t>investments</w:t>
      </w:r>
      <w:r w:rsidR="0053035C">
        <w:rPr>
          <w:rFonts w:ascii="Arial" w:hAnsi="Arial" w:cs="Arial"/>
          <w:sz w:val="24"/>
          <w:szCs w:val="24"/>
        </w:rPr>
        <w:t xml:space="preserve"> and plans to spend</w:t>
      </w:r>
      <w:r w:rsidR="00605050">
        <w:rPr>
          <w:rFonts w:ascii="Arial" w:hAnsi="Arial" w:cs="Arial"/>
          <w:sz w:val="24"/>
          <w:szCs w:val="24"/>
        </w:rPr>
        <w:t xml:space="preserve"> </w:t>
      </w:r>
      <w:r w:rsidR="0053035C">
        <w:rPr>
          <w:rFonts w:ascii="Arial" w:hAnsi="Arial" w:cs="Arial"/>
          <w:sz w:val="24"/>
          <w:szCs w:val="24"/>
        </w:rPr>
        <w:t xml:space="preserve"> </w:t>
      </w:r>
      <w:r>
        <w:rPr>
          <w:rFonts w:ascii="Arial" w:hAnsi="Arial" w:cs="Arial"/>
          <w:sz w:val="24"/>
          <w:szCs w:val="24"/>
        </w:rPr>
        <w:t xml:space="preserve"> </w:t>
      </w:r>
      <w:r w:rsidR="0053035C">
        <w:rPr>
          <w:rFonts w:ascii="Arial" w:hAnsi="Arial" w:cs="Arial"/>
          <w:sz w:val="24"/>
          <w:szCs w:val="24"/>
        </w:rPr>
        <w:t>£</w:t>
      </w:r>
      <w:r w:rsidR="007D378A">
        <w:rPr>
          <w:rFonts w:ascii="Arial" w:hAnsi="Arial" w:cs="Arial"/>
          <w:sz w:val="24"/>
          <w:szCs w:val="24"/>
        </w:rPr>
        <w:t>25m on</w:t>
      </w:r>
      <w:r>
        <w:rPr>
          <w:rFonts w:ascii="Arial" w:hAnsi="Arial" w:cs="Arial"/>
          <w:sz w:val="24"/>
          <w:szCs w:val="24"/>
        </w:rPr>
        <w:t xml:space="preserve"> commercial investment properties</w:t>
      </w:r>
      <w:r w:rsidR="0053035C">
        <w:rPr>
          <w:rFonts w:ascii="Arial" w:hAnsi="Arial" w:cs="Arial"/>
          <w:sz w:val="24"/>
          <w:szCs w:val="24"/>
        </w:rPr>
        <w:t xml:space="preserve"> </w:t>
      </w:r>
      <w:r w:rsidR="00C9627C">
        <w:rPr>
          <w:rFonts w:ascii="Arial" w:hAnsi="Arial" w:cs="Arial"/>
          <w:sz w:val="24"/>
          <w:szCs w:val="24"/>
        </w:rPr>
        <w:t>in</w:t>
      </w:r>
      <w:r>
        <w:rPr>
          <w:rFonts w:ascii="Arial" w:hAnsi="Arial" w:cs="Arial"/>
          <w:sz w:val="24"/>
          <w:szCs w:val="24"/>
        </w:rPr>
        <w:t xml:space="preserve"> 2019/</w:t>
      </w:r>
      <w:r w:rsidR="007D378A">
        <w:rPr>
          <w:rFonts w:ascii="Arial" w:hAnsi="Arial" w:cs="Arial"/>
          <w:sz w:val="24"/>
          <w:szCs w:val="24"/>
        </w:rPr>
        <w:t>20 and</w:t>
      </w:r>
      <w:r>
        <w:rPr>
          <w:rFonts w:ascii="Arial" w:hAnsi="Arial" w:cs="Arial"/>
          <w:sz w:val="24"/>
          <w:szCs w:val="24"/>
        </w:rPr>
        <w:t xml:space="preserve"> 2021/22 in accordance with the Investment Property Strategy approved by Cabinet</w:t>
      </w:r>
      <w:r w:rsidR="00F448C6" w:rsidRPr="00040CF9">
        <w:rPr>
          <w:rFonts w:ascii="Arial" w:hAnsi="Arial" w:cs="Arial"/>
          <w:sz w:val="24"/>
          <w:szCs w:val="24"/>
        </w:rPr>
        <w:t xml:space="preserve"> </w:t>
      </w:r>
      <w:r>
        <w:rPr>
          <w:rFonts w:ascii="Arial" w:hAnsi="Arial" w:cs="Arial"/>
          <w:sz w:val="24"/>
          <w:szCs w:val="24"/>
        </w:rPr>
        <w:t>in 2015.</w:t>
      </w:r>
    </w:p>
    <w:p w14:paraId="5A1982ED" w14:textId="77777777" w:rsidR="00B66222" w:rsidRPr="00040CF9" w:rsidRDefault="00B66222" w:rsidP="00EE05DD">
      <w:pPr>
        <w:pStyle w:val="ListParagraph"/>
        <w:spacing w:after="0" w:line="276" w:lineRule="auto"/>
        <w:ind w:left="851"/>
        <w:jc w:val="both"/>
        <w:rPr>
          <w:rFonts w:ascii="Arial" w:hAnsi="Arial" w:cs="Arial"/>
          <w:sz w:val="24"/>
          <w:szCs w:val="24"/>
        </w:rPr>
      </w:pPr>
    </w:p>
    <w:p w14:paraId="4779B058" w14:textId="268EEB87" w:rsidR="005662A0" w:rsidRDefault="004A47E5" w:rsidP="00EE05DD">
      <w:pPr>
        <w:pStyle w:val="ListParagraph"/>
        <w:numPr>
          <w:ilvl w:val="0"/>
          <w:numId w:val="7"/>
        </w:numPr>
        <w:spacing w:after="0" w:line="276" w:lineRule="auto"/>
        <w:ind w:left="709" w:hanging="709"/>
        <w:jc w:val="both"/>
        <w:rPr>
          <w:rFonts w:ascii="Arial" w:hAnsi="Arial" w:cs="Arial"/>
          <w:sz w:val="24"/>
          <w:szCs w:val="24"/>
        </w:rPr>
      </w:pPr>
      <w:r w:rsidRPr="00D85345">
        <w:rPr>
          <w:rFonts w:ascii="Arial" w:hAnsi="Arial" w:cs="Arial"/>
          <w:sz w:val="24"/>
          <w:szCs w:val="24"/>
        </w:rPr>
        <w:t xml:space="preserve">The Housing Revenue Account (HRA) is a ring-fenced account which ensures that council housing does not subsidise, or is itself </w:t>
      </w:r>
      <w:r w:rsidR="000F788E">
        <w:rPr>
          <w:rFonts w:ascii="Arial" w:hAnsi="Arial" w:cs="Arial"/>
          <w:sz w:val="24"/>
          <w:szCs w:val="24"/>
        </w:rPr>
        <w:t xml:space="preserve">be </w:t>
      </w:r>
      <w:r w:rsidRPr="00D85345">
        <w:rPr>
          <w:rFonts w:ascii="Arial" w:hAnsi="Arial" w:cs="Arial"/>
          <w:sz w:val="24"/>
          <w:szCs w:val="24"/>
        </w:rPr>
        <w:t xml:space="preserve">subsidised, by other local services. HRA capital expenditure is therefore recorded separately, and includes the building of </w:t>
      </w:r>
      <w:r w:rsidR="00EE50A1" w:rsidRPr="00D85345">
        <w:rPr>
          <w:rFonts w:ascii="Arial" w:hAnsi="Arial" w:cs="Arial"/>
          <w:sz w:val="24"/>
          <w:szCs w:val="24"/>
        </w:rPr>
        <w:t xml:space="preserve">new general needs, shared ownership and supported </w:t>
      </w:r>
      <w:r w:rsidR="005D704E" w:rsidRPr="00D85345">
        <w:rPr>
          <w:rFonts w:ascii="Arial" w:hAnsi="Arial" w:cs="Arial"/>
          <w:sz w:val="24"/>
          <w:szCs w:val="24"/>
        </w:rPr>
        <w:t>housing as well as works to stock and major adaptations to existing properties.</w:t>
      </w:r>
    </w:p>
    <w:p w14:paraId="5D0132EA" w14:textId="77777777" w:rsidR="00EE05DD" w:rsidRDefault="00EE05DD" w:rsidP="00EE05DD">
      <w:pPr>
        <w:pStyle w:val="ListParagraph"/>
        <w:spacing w:after="0" w:line="276" w:lineRule="auto"/>
        <w:ind w:left="709"/>
        <w:jc w:val="both"/>
        <w:rPr>
          <w:rFonts w:ascii="Arial" w:hAnsi="Arial" w:cs="Arial"/>
          <w:sz w:val="24"/>
          <w:szCs w:val="24"/>
        </w:rPr>
      </w:pPr>
    </w:p>
    <w:p w14:paraId="625B2B7E" w14:textId="77777777" w:rsidR="00261822" w:rsidRPr="000F788E" w:rsidRDefault="00261822" w:rsidP="00EE05DD">
      <w:pPr>
        <w:spacing w:after="0" w:line="276" w:lineRule="auto"/>
        <w:jc w:val="both"/>
        <w:rPr>
          <w:rFonts w:ascii="Arial" w:hAnsi="Arial" w:cs="Arial"/>
          <w:b/>
          <w:sz w:val="24"/>
          <w:szCs w:val="24"/>
        </w:rPr>
      </w:pPr>
      <w:r w:rsidRPr="000F788E">
        <w:rPr>
          <w:rFonts w:ascii="Arial" w:hAnsi="Arial" w:cs="Arial"/>
          <w:b/>
          <w:sz w:val="24"/>
          <w:szCs w:val="24"/>
        </w:rPr>
        <w:t>Governance of Capital Expenditure</w:t>
      </w:r>
    </w:p>
    <w:p w14:paraId="3976590E" w14:textId="67572190" w:rsidR="001617EF" w:rsidRPr="009E55CC" w:rsidRDefault="005E1B73" w:rsidP="00EE05DD">
      <w:pPr>
        <w:pStyle w:val="ListParagraph"/>
        <w:numPr>
          <w:ilvl w:val="0"/>
          <w:numId w:val="16"/>
        </w:numPr>
        <w:spacing w:after="0" w:line="276" w:lineRule="auto"/>
        <w:ind w:hanging="578"/>
        <w:jc w:val="both"/>
        <w:rPr>
          <w:rFonts w:ascii="Arial" w:hAnsi="Arial" w:cs="Arial"/>
          <w:sz w:val="24"/>
          <w:szCs w:val="24"/>
        </w:rPr>
      </w:pPr>
      <w:r w:rsidRPr="005E1B73">
        <w:rPr>
          <w:rFonts w:ascii="Arial" w:hAnsi="Arial" w:cs="Arial"/>
          <w:sz w:val="24"/>
          <w:szCs w:val="24"/>
        </w:rPr>
        <w:t xml:space="preserve"> </w:t>
      </w:r>
      <w:r w:rsidR="001617EF" w:rsidRPr="005E1B73">
        <w:rPr>
          <w:rFonts w:ascii="Arial" w:hAnsi="Arial" w:cs="Arial"/>
          <w:sz w:val="24"/>
          <w:szCs w:val="24"/>
        </w:rPr>
        <w:t xml:space="preserve">Specific capital projects are identified primarily through the Council’s annual </w:t>
      </w:r>
      <w:r w:rsidR="001617EF" w:rsidRPr="009E55CC">
        <w:rPr>
          <w:rFonts w:ascii="Arial" w:hAnsi="Arial" w:cs="Arial"/>
          <w:sz w:val="24"/>
          <w:szCs w:val="24"/>
        </w:rPr>
        <w:t xml:space="preserve">budget setting process which revises the approved capital programme </w:t>
      </w:r>
      <w:r w:rsidR="00551FA9" w:rsidRPr="009E55CC">
        <w:rPr>
          <w:rFonts w:ascii="Arial" w:hAnsi="Arial" w:cs="Arial"/>
          <w:sz w:val="24"/>
          <w:szCs w:val="24"/>
        </w:rPr>
        <w:t xml:space="preserve">for future </w:t>
      </w:r>
      <w:r w:rsidR="001617EF" w:rsidRPr="009E55CC">
        <w:rPr>
          <w:rFonts w:ascii="Arial" w:hAnsi="Arial" w:cs="Arial"/>
          <w:sz w:val="24"/>
          <w:szCs w:val="24"/>
        </w:rPr>
        <w:t xml:space="preserve">years.  Service managers submit </w:t>
      </w:r>
      <w:r w:rsidR="00551FA9" w:rsidRPr="009E55CC">
        <w:rPr>
          <w:rFonts w:ascii="Arial" w:hAnsi="Arial" w:cs="Arial"/>
          <w:sz w:val="24"/>
          <w:szCs w:val="24"/>
        </w:rPr>
        <w:t>business cases</w:t>
      </w:r>
      <w:r w:rsidR="001617EF" w:rsidRPr="009E55CC">
        <w:rPr>
          <w:rFonts w:ascii="Arial" w:hAnsi="Arial" w:cs="Arial"/>
          <w:sz w:val="24"/>
          <w:szCs w:val="24"/>
        </w:rPr>
        <w:t xml:space="preserve"> for new projects, outlining the reasons and benefits for the proposal and the estimated cost and method of financing. </w:t>
      </w:r>
      <w:r w:rsidR="009E55CC" w:rsidRPr="009E55CC">
        <w:rPr>
          <w:rFonts w:ascii="Arial" w:hAnsi="Arial" w:cs="Arial"/>
          <w:sz w:val="24"/>
          <w:szCs w:val="24"/>
        </w:rPr>
        <w:t>T</w:t>
      </w:r>
      <w:r w:rsidR="001617EF" w:rsidRPr="009E55CC">
        <w:rPr>
          <w:rFonts w:ascii="Arial" w:hAnsi="Arial" w:cs="Arial"/>
          <w:sz w:val="24"/>
          <w:szCs w:val="24"/>
        </w:rPr>
        <w:t xml:space="preserve">he final </w:t>
      </w:r>
      <w:r w:rsidR="007D378A" w:rsidRPr="009E55CC">
        <w:rPr>
          <w:rFonts w:ascii="Arial" w:hAnsi="Arial" w:cs="Arial"/>
          <w:sz w:val="24"/>
          <w:szCs w:val="24"/>
        </w:rPr>
        <w:t>revised capital</w:t>
      </w:r>
      <w:r w:rsidR="001617EF" w:rsidRPr="009E55CC">
        <w:rPr>
          <w:rFonts w:ascii="Arial" w:hAnsi="Arial" w:cs="Arial"/>
          <w:sz w:val="24"/>
          <w:szCs w:val="24"/>
        </w:rPr>
        <w:t xml:space="preserve"> programme is submitted</w:t>
      </w:r>
      <w:r w:rsidR="002E374B" w:rsidRPr="009E55CC">
        <w:rPr>
          <w:rFonts w:ascii="Arial" w:hAnsi="Arial" w:cs="Arial"/>
          <w:sz w:val="24"/>
          <w:szCs w:val="24"/>
        </w:rPr>
        <w:t xml:space="preserve"> </w:t>
      </w:r>
      <w:r w:rsidR="007D378A" w:rsidRPr="009E55CC">
        <w:rPr>
          <w:rFonts w:ascii="Arial" w:hAnsi="Arial" w:cs="Arial"/>
          <w:sz w:val="24"/>
          <w:szCs w:val="24"/>
        </w:rPr>
        <w:t>first</w:t>
      </w:r>
      <w:r w:rsidR="001617EF" w:rsidRPr="009E55CC">
        <w:rPr>
          <w:rFonts w:ascii="Arial" w:hAnsi="Arial" w:cs="Arial"/>
          <w:sz w:val="24"/>
          <w:szCs w:val="24"/>
        </w:rPr>
        <w:t xml:space="preserve"> to Cabinet and Council for approval in February each year.</w:t>
      </w:r>
    </w:p>
    <w:p w14:paraId="52637569" w14:textId="77777777" w:rsidR="00257CBC" w:rsidRPr="00D85345" w:rsidRDefault="00257CBC" w:rsidP="00EE05DD">
      <w:pPr>
        <w:pStyle w:val="ListParagraph"/>
        <w:spacing w:after="0" w:line="276" w:lineRule="auto"/>
        <w:ind w:left="709" w:hanging="709"/>
        <w:jc w:val="both"/>
        <w:rPr>
          <w:rFonts w:ascii="Arial" w:hAnsi="Arial" w:cs="Arial"/>
          <w:sz w:val="24"/>
          <w:szCs w:val="24"/>
        </w:rPr>
      </w:pPr>
    </w:p>
    <w:p w14:paraId="0C434C93" w14:textId="6B7E013A" w:rsidR="001617EF" w:rsidRDefault="001617EF" w:rsidP="00EE05DD">
      <w:pPr>
        <w:pStyle w:val="ListParagraph"/>
        <w:numPr>
          <w:ilvl w:val="0"/>
          <w:numId w:val="16"/>
        </w:numPr>
        <w:spacing w:after="0" w:line="276" w:lineRule="auto"/>
        <w:ind w:left="709" w:hanging="709"/>
        <w:jc w:val="both"/>
        <w:rPr>
          <w:rFonts w:ascii="Arial" w:hAnsi="Arial" w:cs="Arial"/>
          <w:sz w:val="24"/>
          <w:szCs w:val="24"/>
        </w:rPr>
      </w:pPr>
      <w:r w:rsidRPr="00D85345">
        <w:rPr>
          <w:rFonts w:ascii="Arial" w:hAnsi="Arial" w:cs="Arial"/>
          <w:sz w:val="24"/>
          <w:szCs w:val="24"/>
        </w:rPr>
        <w:t xml:space="preserve">Implications of existing and new capital investment proposals in terms of the future impact on prudential borrowing levels and capital financing costs are taken into account in setting the revenue budget which is also approved by Council in February each year.  The various sources of finance for all existing and new capital projects and programmes are identified and included in the Council’s budget. </w:t>
      </w:r>
    </w:p>
    <w:p w14:paraId="5C01FDC9" w14:textId="77777777" w:rsidR="005276FF" w:rsidRPr="005276FF" w:rsidRDefault="005276FF" w:rsidP="00EE05DD">
      <w:pPr>
        <w:spacing w:after="0" w:line="276" w:lineRule="auto"/>
        <w:ind w:left="709" w:hanging="709"/>
        <w:jc w:val="both"/>
        <w:rPr>
          <w:rFonts w:ascii="Arial" w:hAnsi="Arial" w:cs="Arial"/>
          <w:sz w:val="24"/>
          <w:szCs w:val="24"/>
        </w:rPr>
      </w:pPr>
    </w:p>
    <w:p w14:paraId="0CDD58C1" w14:textId="098313FF" w:rsidR="001617EF" w:rsidRDefault="001617EF" w:rsidP="00EE05DD">
      <w:pPr>
        <w:pStyle w:val="ListParagraph"/>
        <w:numPr>
          <w:ilvl w:val="0"/>
          <w:numId w:val="16"/>
        </w:numPr>
        <w:spacing w:after="0" w:line="276" w:lineRule="auto"/>
        <w:ind w:left="709" w:hanging="709"/>
        <w:jc w:val="both"/>
        <w:rPr>
          <w:rFonts w:ascii="Arial" w:hAnsi="Arial" w:cs="Arial"/>
          <w:sz w:val="24"/>
          <w:szCs w:val="24"/>
        </w:rPr>
      </w:pPr>
      <w:r w:rsidRPr="00D85345">
        <w:rPr>
          <w:rFonts w:ascii="Arial" w:hAnsi="Arial" w:cs="Arial"/>
          <w:sz w:val="24"/>
          <w:szCs w:val="24"/>
        </w:rPr>
        <w:t>Some capital projects arise which require more short</w:t>
      </w:r>
      <w:r w:rsidR="00B76C1E">
        <w:rPr>
          <w:rFonts w:ascii="Arial" w:hAnsi="Arial" w:cs="Arial"/>
          <w:sz w:val="24"/>
          <w:szCs w:val="24"/>
        </w:rPr>
        <w:t>-</w:t>
      </w:r>
      <w:r w:rsidRPr="00D85345">
        <w:rPr>
          <w:rFonts w:ascii="Arial" w:hAnsi="Arial" w:cs="Arial"/>
          <w:sz w:val="24"/>
          <w:szCs w:val="24"/>
        </w:rPr>
        <w:t xml:space="preserve">term implementation during the current financial year and these are usually managed through existing programme budgets included in the </w:t>
      </w:r>
      <w:r w:rsidR="00040CF9">
        <w:rPr>
          <w:rFonts w:ascii="Arial" w:hAnsi="Arial" w:cs="Arial"/>
          <w:sz w:val="24"/>
          <w:szCs w:val="24"/>
        </w:rPr>
        <w:t>three</w:t>
      </w:r>
      <w:r w:rsidRPr="00D85345">
        <w:rPr>
          <w:rFonts w:ascii="Arial" w:hAnsi="Arial" w:cs="Arial"/>
          <w:sz w:val="24"/>
          <w:szCs w:val="24"/>
        </w:rPr>
        <w:t xml:space="preserve"> year programme where there is anticipated need for that type of investment.</w:t>
      </w:r>
      <w:r w:rsidR="003D70B4">
        <w:rPr>
          <w:rFonts w:ascii="Arial" w:hAnsi="Arial" w:cs="Arial"/>
          <w:sz w:val="24"/>
          <w:szCs w:val="24"/>
        </w:rPr>
        <w:t xml:space="preserve"> These projects would normally be managed within overall borrowing limits approved by Council.</w:t>
      </w:r>
    </w:p>
    <w:p w14:paraId="1A8FCC4C" w14:textId="77777777" w:rsidR="00AD21E1" w:rsidRDefault="00AD21E1" w:rsidP="00EE05DD">
      <w:pPr>
        <w:jc w:val="both"/>
        <w:rPr>
          <w:rFonts w:ascii="Arial" w:hAnsi="Arial" w:cs="Arial"/>
          <w:b/>
          <w:sz w:val="24"/>
          <w:szCs w:val="24"/>
        </w:rPr>
      </w:pPr>
    </w:p>
    <w:p w14:paraId="6685B333" w14:textId="5C0006C1" w:rsidR="006F1678" w:rsidRPr="006F1678" w:rsidRDefault="006F1678" w:rsidP="00EE05DD">
      <w:pPr>
        <w:jc w:val="both"/>
        <w:rPr>
          <w:rFonts w:ascii="Arial" w:hAnsi="Arial" w:cs="Arial"/>
          <w:b/>
          <w:sz w:val="24"/>
          <w:szCs w:val="24"/>
        </w:rPr>
      </w:pPr>
      <w:r w:rsidRPr="006F1678">
        <w:rPr>
          <w:rFonts w:ascii="Arial" w:hAnsi="Arial" w:cs="Arial"/>
          <w:b/>
          <w:sz w:val="24"/>
          <w:szCs w:val="24"/>
        </w:rPr>
        <w:t>Review of the existing Capital Programme and new Proposals</w:t>
      </w:r>
    </w:p>
    <w:p w14:paraId="55E9667A" w14:textId="19F615E9" w:rsidR="006F1678" w:rsidRPr="006F1678" w:rsidRDefault="00791A54" w:rsidP="00EE05DD">
      <w:pPr>
        <w:pStyle w:val="ListParagraph"/>
        <w:numPr>
          <w:ilvl w:val="0"/>
          <w:numId w:val="16"/>
        </w:numPr>
        <w:spacing w:after="0" w:line="240" w:lineRule="auto"/>
        <w:ind w:left="709" w:hanging="709"/>
        <w:jc w:val="both"/>
        <w:rPr>
          <w:rFonts w:ascii="Arial" w:hAnsi="Arial" w:cs="Arial"/>
          <w:sz w:val="24"/>
          <w:szCs w:val="24"/>
        </w:rPr>
      </w:pPr>
      <w:r>
        <w:rPr>
          <w:rFonts w:ascii="Arial" w:hAnsi="Arial" w:cs="Arial"/>
          <w:sz w:val="24"/>
          <w:szCs w:val="24"/>
        </w:rPr>
        <w:t xml:space="preserve">The Capital Programme is usually prepared over a three year period, </w:t>
      </w:r>
      <w:r w:rsidR="007D378A">
        <w:rPr>
          <w:rFonts w:ascii="Arial" w:hAnsi="Arial" w:cs="Arial"/>
          <w:sz w:val="24"/>
          <w:szCs w:val="24"/>
        </w:rPr>
        <w:t>However for</w:t>
      </w:r>
      <w:r>
        <w:rPr>
          <w:rFonts w:ascii="Arial" w:hAnsi="Arial" w:cs="Arial"/>
          <w:sz w:val="24"/>
          <w:szCs w:val="24"/>
        </w:rPr>
        <w:t xml:space="preserve"> 2019/20 a</w:t>
      </w:r>
      <w:r w:rsidR="006F1678" w:rsidRPr="006F1678">
        <w:rPr>
          <w:rFonts w:ascii="Arial" w:hAnsi="Arial" w:cs="Arial"/>
          <w:sz w:val="24"/>
          <w:szCs w:val="24"/>
        </w:rPr>
        <w:t xml:space="preserve"> review of the Capital Programme was carried out in order for the Programme to be aligned with principles being developed to help define what Council services in Harrow should look like in the future, given the current significant budget gaps in the Revenue Budget for 2020/21 and 2021/22. The aim of this review being to set a revised affordable Capital Programme.  The principles used are as follows: </w:t>
      </w:r>
    </w:p>
    <w:p w14:paraId="760D3660" w14:textId="77777777" w:rsidR="006F1678" w:rsidRPr="006F1678" w:rsidRDefault="006F1678" w:rsidP="00EE05DD">
      <w:pPr>
        <w:pStyle w:val="ListParagraph"/>
        <w:spacing w:after="200"/>
        <w:ind w:left="360"/>
        <w:jc w:val="both"/>
        <w:rPr>
          <w:rFonts w:ascii="Arial" w:hAnsi="Arial" w:cs="Arial"/>
          <w:sz w:val="24"/>
          <w:szCs w:val="24"/>
        </w:rPr>
      </w:pPr>
    </w:p>
    <w:p w14:paraId="73EBFBD4" w14:textId="77777777" w:rsidR="006F1678" w:rsidRPr="006F1678" w:rsidRDefault="006F1678" w:rsidP="00EE05DD">
      <w:pPr>
        <w:pStyle w:val="ListParagraph"/>
        <w:numPr>
          <w:ilvl w:val="0"/>
          <w:numId w:val="15"/>
        </w:numPr>
        <w:spacing w:after="0" w:line="240" w:lineRule="auto"/>
        <w:jc w:val="both"/>
        <w:rPr>
          <w:rFonts w:ascii="Arial" w:hAnsi="Arial" w:cs="Arial"/>
          <w:sz w:val="24"/>
          <w:szCs w:val="24"/>
        </w:rPr>
      </w:pPr>
      <w:r w:rsidRPr="006F1678">
        <w:rPr>
          <w:rFonts w:ascii="Arial" w:hAnsi="Arial" w:cs="Arial"/>
          <w:sz w:val="24"/>
          <w:szCs w:val="24"/>
        </w:rPr>
        <w:t xml:space="preserve">Is this capital needed to meet a statutory obligation?  Also, is the amount requested the minimum requirement?  </w:t>
      </w:r>
    </w:p>
    <w:p w14:paraId="3F28F711" w14:textId="77777777" w:rsidR="006F1678" w:rsidRPr="006F1678" w:rsidRDefault="006F1678" w:rsidP="00EE05DD">
      <w:pPr>
        <w:pStyle w:val="ListParagraph"/>
        <w:numPr>
          <w:ilvl w:val="0"/>
          <w:numId w:val="15"/>
        </w:numPr>
        <w:spacing w:after="0" w:line="240" w:lineRule="auto"/>
        <w:jc w:val="both"/>
        <w:rPr>
          <w:rFonts w:ascii="Arial" w:hAnsi="Arial" w:cs="Arial"/>
          <w:sz w:val="24"/>
          <w:szCs w:val="24"/>
        </w:rPr>
      </w:pPr>
      <w:r w:rsidRPr="006F1678">
        <w:rPr>
          <w:rFonts w:ascii="Arial" w:hAnsi="Arial" w:cs="Arial"/>
          <w:sz w:val="24"/>
          <w:szCs w:val="24"/>
        </w:rPr>
        <w:lastRenderedPageBreak/>
        <w:t>Is this capital required to operate safely? Also, is the amount requested the minimum requirement?</w:t>
      </w:r>
    </w:p>
    <w:p w14:paraId="219B152E" w14:textId="77777777" w:rsidR="006F1678" w:rsidRPr="006F1678" w:rsidRDefault="006F1678" w:rsidP="00EE05DD">
      <w:pPr>
        <w:pStyle w:val="ListParagraph"/>
        <w:numPr>
          <w:ilvl w:val="0"/>
          <w:numId w:val="15"/>
        </w:numPr>
        <w:spacing w:after="0" w:line="240" w:lineRule="auto"/>
        <w:jc w:val="both"/>
        <w:rPr>
          <w:rFonts w:ascii="Arial" w:hAnsi="Arial" w:cs="Arial"/>
          <w:sz w:val="24"/>
          <w:szCs w:val="24"/>
        </w:rPr>
      </w:pPr>
      <w:r w:rsidRPr="006F1678">
        <w:rPr>
          <w:rFonts w:ascii="Arial" w:hAnsi="Arial" w:cs="Arial"/>
          <w:sz w:val="24"/>
          <w:szCs w:val="24"/>
        </w:rPr>
        <w:t xml:space="preserve">Does the capital investment make a net financial contribution to Harrow after accounting for all revenue costs (capital financing costs, implementation costs and any ongoing running costs)? </w:t>
      </w:r>
    </w:p>
    <w:p w14:paraId="55883C8F" w14:textId="77777777" w:rsidR="006F1678" w:rsidRPr="006F1678" w:rsidRDefault="006F1678" w:rsidP="00EE05DD">
      <w:pPr>
        <w:pStyle w:val="ListParagraph"/>
        <w:numPr>
          <w:ilvl w:val="0"/>
          <w:numId w:val="15"/>
        </w:numPr>
        <w:spacing w:after="0" w:line="240" w:lineRule="auto"/>
        <w:jc w:val="both"/>
        <w:rPr>
          <w:rFonts w:ascii="Arial" w:hAnsi="Arial" w:cs="Arial"/>
          <w:sz w:val="24"/>
          <w:szCs w:val="24"/>
        </w:rPr>
      </w:pPr>
      <w:r w:rsidRPr="006F1678">
        <w:rPr>
          <w:rFonts w:ascii="Arial" w:hAnsi="Arial" w:cs="Arial"/>
          <w:sz w:val="24"/>
          <w:szCs w:val="24"/>
        </w:rPr>
        <w:t xml:space="preserve">Does the capital investment generate additional external funding? </w:t>
      </w:r>
    </w:p>
    <w:p w14:paraId="6688124A" w14:textId="77777777" w:rsidR="006F1678" w:rsidRPr="006F1678" w:rsidRDefault="006F1678" w:rsidP="00EE05DD">
      <w:pPr>
        <w:pStyle w:val="ListParagraph"/>
        <w:numPr>
          <w:ilvl w:val="0"/>
          <w:numId w:val="15"/>
        </w:numPr>
        <w:spacing w:after="0" w:line="240" w:lineRule="auto"/>
        <w:jc w:val="both"/>
        <w:rPr>
          <w:rFonts w:ascii="Arial" w:hAnsi="Arial" w:cs="Arial"/>
          <w:sz w:val="24"/>
          <w:szCs w:val="24"/>
        </w:rPr>
      </w:pPr>
      <w:r w:rsidRPr="006F1678">
        <w:rPr>
          <w:rFonts w:ascii="Arial" w:hAnsi="Arial" w:cs="Arial"/>
          <w:sz w:val="24"/>
          <w:szCs w:val="24"/>
        </w:rPr>
        <w:t>Is this capital requirement essential to sustain the organisation? Also, is the amount requested the minimum requirement?</w:t>
      </w:r>
    </w:p>
    <w:p w14:paraId="0D3280A5" w14:textId="77777777" w:rsidR="006F1678" w:rsidRPr="006F1678" w:rsidRDefault="006F1678" w:rsidP="00EE05DD">
      <w:pPr>
        <w:pStyle w:val="ListParagraph"/>
        <w:numPr>
          <w:ilvl w:val="0"/>
          <w:numId w:val="15"/>
        </w:numPr>
        <w:spacing w:after="0" w:line="240" w:lineRule="auto"/>
        <w:jc w:val="both"/>
        <w:rPr>
          <w:rFonts w:ascii="Arial" w:hAnsi="Arial" w:cs="Arial"/>
          <w:i/>
          <w:sz w:val="24"/>
          <w:szCs w:val="24"/>
        </w:rPr>
      </w:pPr>
      <w:r w:rsidRPr="006F1678">
        <w:rPr>
          <w:rFonts w:ascii="Arial" w:hAnsi="Arial" w:cs="Arial"/>
          <w:sz w:val="24"/>
          <w:szCs w:val="24"/>
        </w:rPr>
        <w:t>Where a project has already started, can existing contractual arrangements be re-negotiated?</w:t>
      </w:r>
      <w:r w:rsidRPr="006F1678">
        <w:rPr>
          <w:rFonts w:ascii="Arial" w:hAnsi="Arial" w:cs="Arial"/>
          <w:i/>
          <w:sz w:val="24"/>
          <w:szCs w:val="24"/>
        </w:rPr>
        <w:t xml:space="preserve"> </w:t>
      </w:r>
    </w:p>
    <w:p w14:paraId="726F01E1" w14:textId="12EC4097" w:rsidR="000844EF" w:rsidRPr="00040CF9" w:rsidRDefault="000844EF" w:rsidP="00EE05DD">
      <w:pPr>
        <w:pStyle w:val="ListParagraph"/>
        <w:spacing w:after="0" w:line="276" w:lineRule="auto"/>
        <w:ind w:left="709"/>
        <w:jc w:val="both"/>
        <w:rPr>
          <w:rFonts w:ascii="Arial" w:hAnsi="Arial" w:cs="Arial"/>
          <w:sz w:val="24"/>
          <w:szCs w:val="24"/>
          <w:highlight w:val="yellow"/>
        </w:rPr>
      </w:pPr>
    </w:p>
    <w:p w14:paraId="6CBA6BA2" w14:textId="5AD8E50A" w:rsidR="006D7784" w:rsidRPr="00856053" w:rsidRDefault="006D7784" w:rsidP="00EE05DD">
      <w:pPr>
        <w:pStyle w:val="ListParagraph"/>
        <w:numPr>
          <w:ilvl w:val="0"/>
          <w:numId w:val="16"/>
        </w:numPr>
        <w:spacing w:after="0" w:line="276" w:lineRule="auto"/>
        <w:jc w:val="both"/>
        <w:rPr>
          <w:rFonts w:ascii="Arial" w:hAnsi="Arial" w:cs="Arial"/>
          <w:sz w:val="24"/>
          <w:szCs w:val="24"/>
        </w:rPr>
      </w:pPr>
      <w:r w:rsidRPr="00856053">
        <w:rPr>
          <w:rFonts w:ascii="Arial" w:hAnsi="Arial" w:cs="Arial"/>
          <w:sz w:val="24"/>
          <w:szCs w:val="24"/>
        </w:rPr>
        <w:t>All capital expenditure must be financed, either from external sources (</w:t>
      </w:r>
      <w:r w:rsidR="00C43DCD" w:rsidRPr="00856053">
        <w:rPr>
          <w:rFonts w:ascii="Arial" w:hAnsi="Arial" w:cs="Arial"/>
          <w:sz w:val="24"/>
          <w:szCs w:val="24"/>
        </w:rPr>
        <w:t xml:space="preserve">government </w:t>
      </w:r>
      <w:r w:rsidRPr="00856053">
        <w:rPr>
          <w:rFonts w:ascii="Arial" w:hAnsi="Arial" w:cs="Arial"/>
          <w:sz w:val="24"/>
          <w:szCs w:val="24"/>
        </w:rPr>
        <w:t xml:space="preserve">grants and </w:t>
      </w:r>
      <w:r w:rsidR="00C43DCD" w:rsidRPr="00856053">
        <w:rPr>
          <w:rFonts w:ascii="Arial" w:hAnsi="Arial" w:cs="Arial"/>
          <w:sz w:val="24"/>
          <w:szCs w:val="24"/>
        </w:rPr>
        <w:t xml:space="preserve">other </w:t>
      </w:r>
      <w:r w:rsidRPr="00856053">
        <w:rPr>
          <w:rFonts w:ascii="Arial" w:hAnsi="Arial" w:cs="Arial"/>
          <w:sz w:val="24"/>
          <w:szCs w:val="24"/>
        </w:rPr>
        <w:t xml:space="preserve">contributions), </w:t>
      </w:r>
      <w:r w:rsidR="006C3C8A" w:rsidRPr="00856053">
        <w:rPr>
          <w:rFonts w:ascii="Arial" w:hAnsi="Arial" w:cs="Arial"/>
          <w:sz w:val="24"/>
          <w:szCs w:val="24"/>
        </w:rPr>
        <w:t>the Council’s own</w:t>
      </w:r>
      <w:r w:rsidRPr="00856053">
        <w:rPr>
          <w:rFonts w:ascii="Arial" w:hAnsi="Arial" w:cs="Arial"/>
          <w:sz w:val="24"/>
          <w:szCs w:val="24"/>
        </w:rPr>
        <w:t xml:space="preserve"> resources (revenue</w:t>
      </w:r>
      <w:r w:rsidR="006C3C8A" w:rsidRPr="00856053">
        <w:rPr>
          <w:rFonts w:ascii="Arial" w:hAnsi="Arial" w:cs="Arial"/>
          <w:sz w:val="24"/>
          <w:szCs w:val="24"/>
        </w:rPr>
        <w:t xml:space="preserve">, </w:t>
      </w:r>
      <w:r w:rsidRPr="00856053">
        <w:rPr>
          <w:rFonts w:ascii="Arial" w:hAnsi="Arial" w:cs="Arial"/>
          <w:sz w:val="24"/>
          <w:szCs w:val="24"/>
        </w:rPr>
        <w:t>reserves</w:t>
      </w:r>
      <w:r w:rsidR="006C3C8A" w:rsidRPr="00856053">
        <w:rPr>
          <w:rFonts w:ascii="Arial" w:hAnsi="Arial" w:cs="Arial"/>
          <w:sz w:val="24"/>
          <w:szCs w:val="24"/>
        </w:rPr>
        <w:t xml:space="preserve"> and capital receipts</w:t>
      </w:r>
      <w:r w:rsidRPr="00856053">
        <w:rPr>
          <w:rFonts w:ascii="Arial" w:hAnsi="Arial" w:cs="Arial"/>
          <w:sz w:val="24"/>
          <w:szCs w:val="24"/>
        </w:rPr>
        <w:t>) or debt (borrowing, leasing and P</w:t>
      </w:r>
      <w:r w:rsidR="00A07CB6" w:rsidRPr="00856053">
        <w:rPr>
          <w:rFonts w:ascii="Arial" w:hAnsi="Arial" w:cs="Arial"/>
          <w:sz w:val="24"/>
          <w:szCs w:val="24"/>
        </w:rPr>
        <w:t xml:space="preserve">rivate </w:t>
      </w:r>
      <w:r w:rsidRPr="00856053">
        <w:rPr>
          <w:rFonts w:ascii="Arial" w:hAnsi="Arial" w:cs="Arial"/>
          <w:sz w:val="24"/>
          <w:szCs w:val="24"/>
        </w:rPr>
        <w:t>F</w:t>
      </w:r>
      <w:r w:rsidR="00A07CB6" w:rsidRPr="00856053">
        <w:rPr>
          <w:rFonts w:ascii="Arial" w:hAnsi="Arial" w:cs="Arial"/>
          <w:sz w:val="24"/>
          <w:szCs w:val="24"/>
        </w:rPr>
        <w:t xml:space="preserve">inance </w:t>
      </w:r>
      <w:r w:rsidRPr="00856053">
        <w:rPr>
          <w:rFonts w:ascii="Arial" w:hAnsi="Arial" w:cs="Arial"/>
          <w:sz w:val="24"/>
          <w:szCs w:val="24"/>
        </w:rPr>
        <w:t>I</w:t>
      </w:r>
      <w:r w:rsidR="00A07CB6" w:rsidRPr="00856053">
        <w:rPr>
          <w:rFonts w:ascii="Arial" w:hAnsi="Arial" w:cs="Arial"/>
          <w:sz w:val="24"/>
          <w:szCs w:val="24"/>
        </w:rPr>
        <w:t>nitiative</w:t>
      </w:r>
      <w:r w:rsidRPr="00856053">
        <w:rPr>
          <w:rFonts w:ascii="Arial" w:hAnsi="Arial" w:cs="Arial"/>
          <w:sz w:val="24"/>
          <w:szCs w:val="24"/>
        </w:rPr>
        <w:t xml:space="preserve">). The </w:t>
      </w:r>
      <w:r w:rsidR="00C43DCD" w:rsidRPr="00856053">
        <w:rPr>
          <w:rFonts w:ascii="Arial" w:hAnsi="Arial" w:cs="Arial"/>
          <w:sz w:val="24"/>
          <w:szCs w:val="24"/>
        </w:rPr>
        <w:t>planned financing of the above expenditure is as follows:</w:t>
      </w:r>
    </w:p>
    <w:p w14:paraId="3D4D56A9" w14:textId="77777777" w:rsidR="00257CBC" w:rsidRDefault="00257CBC" w:rsidP="00EE05DD">
      <w:pPr>
        <w:spacing w:after="200" w:line="276" w:lineRule="auto"/>
        <w:ind w:left="709"/>
        <w:contextualSpacing/>
        <w:jc w:val="both"/>
        <w:rPr>
          <w:rFonts w:ascii="Arial" w:hAnsi="Arial" w:cs="Arial"/>
          <w:sz w:val="24"/>
          <w:szCs w:val="24"/>
        </w:rPr>
      </w:pPr>
    </w:p>
    <w:p w14:paraId="7897BB82" w14:textId="749175BC" w:rsidR="00C43DCD" w:rsidRPr="00844411" w:rsidRDefault="00C43DCD" w:rsidP="00EE05DD">
      <w:pPr>
        <w:spacing w:after="200" w:line="276" w:lineRule="auto"/>
        <w:ind w:firstLine="349"/>
        <w:contextualSpacing/>
        <w:jc w:val="both"/>
        <w:rPr>
          <w:rFonts w:ascii="Arial" w:hAnsi="Arial" w:cs="Arial"/>
          <w:b/>
          <w:sz w:val="24"/>
          <w:szCs w:val="24"/>
          <w:u w:val="single"/>
        </w:rPr>
      </w:pPr>
      <w:r w:rsidRPr="00844411">
        <w:rPr>
          <w:rFonts w:ascii="Arial" w:hAnsi="Arial" w:cs="Arial"/>
          <w:b/>
          <w:sz w:val="24"/>
          <w:szCs w:val="24"/>
          <w:u w:val="single"/>
        </w:rPr>
        <w:t xml:space="preserve">Table 2: Capital </w:t>
      </w:r>
      <w:r w:rsidR="00844411">
        <w:rPr>
          <w:rFonts w:ascii="Arial" w:hAnsi="Arial" w:cs="Arial"/>
          <w:b/>
          <w:sz w:val="24"/>
          <w:szCs w:val="24"/>
          <w:u w:val="single"/>
        </w:rPr>
        <w:t>Fi</w:t>
      </w:r>
      <w:r w:rsidRPr="00844411">
        <w:rPr>
          <w:rFonts w:ascii="Arial" w:hAnsi="Arial" w:cs="Arial"/>
          <w:b/>
          <w:sz w:val="24"/>
          <w:szCs w:val="24"/>
          <w:u w:val="single"/>
        </w:rPr>
        <w:t>nancing</w:t>
      </w:r>
      <w:r w:rsidR="006C3C8A" w:rsidRPr="00844411">
        <w:rPr>
          <w:rFonts w:ascii="Arial" w:hAnsi="Arial" w:cs="Arial"/>
          <w:b/>
          <w:sz w:val="24"/>
          <w:szCs w:val="24"/>
          <w:u w:val="single"/>
        </w:rPr>
        <w:t xml:space="preserve"> </w:t>
      </w:r>
    </w:p>
    <w:tbl>
      <w:tblPr>
        <w:tblStyle w:val="TableGrid"/>
        <w:tblW w:w="6083" w:type="dxa"/>
        <w:tblInd w:w="959" w:type="dxa"/>
        <w:tblLook w:val="04A0" w:firstRow="1" w:lastRow="0" w:firstColumn="1" w:lastColumn="0" w:noHBand="0" w:noVBand="1"/>
      </w:tblPr>
      <w:tblGrid>
        <w:gridCol w:w="1378"/>
        <w:gridCol w:w="1176"/>
        <w:gridCol w:w="1177"/>
        <w:gridCol w:w="1176"/>
        <w:gridCol w:w="1176"/>
      </w:tblGrid>
      <w:tr w:rsidR="005E1B73" w:rsidRPr="00D85345" w14:paraId="2FA304B9" w14:textId="50AD6C55" w:rsidTr="00AF647D">
        <w:tc>
          <w:tcPr>
            <w:tcW w:w="13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6242A9" w14:textId="77777777" w:rsidR="005E1B73" w:rsidRPr="009E2937" w:rsidRDefault="005E1B73" w:rsidP="00EE05DD">
            <w:pPr>
              <w:spacing w:before="60" w:after="60" w:line="276" w:lineRule="auto"/>
              <w:jc w:val="both"/>
              <w:rPr>
                <w:rFonts w:ascii="Arial" w:hAnsi="Arial" w:cs="Arial"/>
              </w:rPr>
            </w:pP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F198B4" w14:textId="77777777" w:rsidR="005E1B73" w:rsidRDefault="005E1B73" w:rsidP="00EE05DD">
            <w:pPr>
              <w:spacing w:before="60" w:after="60" w:line="276" w:lineRule="auto"/>
              <w:jc w:val="both"/>
              <w:rPr>
                <w:rFonts w:ascii="Arial" w:hAnsi="Arial" w:cs="Arial"/>
                <w:b/>
              </w:rPr>
            </w:pPr>
            <w:r w:rsidRPr="009E2937">
              <w:rPr>
                <w:rFonts w:ascii="Arial" w:hAnsi="Arial" w:cs="Arial"/>
                <w:b/>
              </w:rPr>
              <w:t>2017/18 actual</w:t>
            </w:r>
          </w:p>
          <w:p w14:paraId="5EA3FBD9" w14:textId="6CE8203B" w:rsidR="005E1B73" w:rsidRPr="009E2937" w:rsidRDefault="005E1B73" w:rsidP="00EE05DD">
            <w:pPr>
              <w:spacing w:before="60" w:after="60" w:line="276" w:lineRule="auto"/>
              <w:jc w:val="both"/>
              <w:rPr>
                <w:rFonts w:ascii="Arial" w:hAnsi="Arial" w:cs="Arial"/>
                <w:b/>
              </w:rPr>
            </w:pPr>
            <w:r>
              <w:rPr>
                <w:rFonts w:ascii="Arial" w:hAnsi="Arial" w:cs="Arial"/>
                <w:b/>
              </w:rPr>
              <w:t>£m</w:t>
            </w:r>
          </w:p>
        </w:tc>
        <w:tc>
          <w:tcPr>
            <w:tcW w:w="1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74AB45" w14:textId="77777777" w:rsidR="005E1B73" w:rsidRDefault="005E1B73" w:rsidP="00EE05DD">
            <w:pPr>
              <w:spacing w:before="60" w:after="60" w:line="276" w:lineRule="auto"/>
              <w:jc w:val="both"/>
              <w:rPr>
                <w:rFonts w:ascii="Arial" w:hAnsi="Arial" w:cs="Arial"/>
                <w:b/>
              </w:rPr>
            </w:pPr>
            <w:r w:rsidRPr="009E2937">
              <w:rPr>
                <w:rFonts w:ascii="Arial" w:hAnsi="Arial" w:cs="Arial"/>
                <w:b/>
              </w:rPr>
              <w:t>2018/19 forecast</w:t>
            </w:r>
          </w:p>
          <w:p w14:paraId="5401A559" w14:textId="74DB5DFD" w:rsidR="005E1B73" w:rsidRPr="009E2937" w:rsidRDefault="005E1B73" w:rsidP="00EE05DD">
            <w:pPr>
              <w:spacing w:before="60" w:after="60" w:line="276" w:lineRule="auto"/>
              <w:jc w:val="both"/>
              <w:rPr>
                <w:rFonts w:ascii="Arial" w:hAnsi="Arial" w:cs="Arial"/>
                <w:b/>
              </w:rPr>
            </w:pPr>
            <w:r>
              <w:rPr>
                <w:rFonts w:ascii="Arial" w:hAnsi="Arial" w:cs="Arial"/>
                <w:b/>
              </w:rPr>
              <w:t>£m</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2B359C" w14:textId="77777777" w:rsidR="005E1B73" w:rsidRDefault="005E1B73" w:rsidP="00EE05DD">
            <w:pPr>
              <w:spacing w:before="60" w:after="60" w:line="276" w:lineRule="auto"/>
              <w:jc w:val="both"/>
              <w:rPr>
                <w:rFonts w:ascii="Arial" w:hAnsi="Arial" w:cs="Arial"/>
                <w:b/>
              </w:rPr>
            </w:pPr>
            <w:r w:rsidRPr="009E2937">
              <w:rPr>
                <w:rFonts w:ascii="Arial" w:hAnsi="Arial" w:cs="Arial"/>
                <w:b/>
              </w:rPr>
              <w:t>2019/20 budget</w:t>
            </w:r>
          </w:p>
          <w:p w14:paraId="56D72E03" w14:textId="3CB4876D" w:rsidR="005E1B73" w:rsidRPr="009E2937" w:rsidRDefault="005E1B73" w:rsidP="00EE05DD">
            <w:pPr>
              <w:spacing w:before="60" w:after="60" w:line="276" w:lineRule="auto"/>
              <w:jc w:val="both"/>
              <w:rPr>
                <w:rFonts w:ascii="Arial" w:hAnsi="Arial" w:cs="Arial"/>
                <w:b/>
              </w:rPr>
            </w:pPr>
            <w:r>
              <w:rPr>
                <w:rFonts w:ascii="Arial" w:hAnsi="Arial" w:cs="Arial"/>
                <w:b/>
              </w:rPr>
              <w:t>£m</w:t>
            </w:r>
          </w:p>
        </w:tc>
        <w:tc>
          <w:tcPr>
            <w:tcW w:w="11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C998C6" w14:textId="4BBAC2FC" w:rsidR="005E1B73" w:rsidRDefault="005E1B73" w:rsidP="00EE05DD">
            <w:pPr>
              <w:spacing w:before="60" w:after="60" w:line="276" w:lineRule="auto"/>
              <w:jc w:val="both"/>
              <w:rPr>
                <w:rFonts w:ascii="Arial" w:hAnsi="Arial" w:cs="Arial"/>
                <w:b/>
              </w:rPr>
            </w:pPr>
            <w:r w:rsidRPr="009E2937">
              <w:rPr>
                <w:rFonts w:ascii="Arial" w:hAnsi="Arial" w:cs="Arial"/>
                <w:b/>
              </w:rPr>
              <w:t>2020/21 budget</w:t>
            </w:r>
          </w:p>
          <w:p w14:paraId="1EE37A5F" w14:textId="5BF68D37" w:rsidR="005E1B73" w:rsidRPr="009E2937" w:rsidRDefault="005E1B73" w:rsidP="00EE05DD">
            <w:pPr>
              <w:spacing w:before="60" w:after="60" w:line="276" w:lineRule="auto"/>
              <w:jc w:val="both"/>
              <w:rPr>
                <w:rFonts w:ascii="Arial" w:hAnsi="Arial" w:cs="Arial"/>
                <w:b/>
              </w:rPr>
            </w:pPr>
            <w:r>
              <w:rPr>
                <w:rFonts w:ascii="Arial" w:hAnsi="Arial" w:cs="Arial"/>
                <w:b/>
              </w:rPr>
              <w:t>£m</w:t>
            </w:r>
          </w:p>
        </w:tc>
      </w:tr>
      <w:tr w:rsidR="005E1B73" w:rsidRPr="00D85345" w14:paraId="5374B177" w14:textId="34B4AD7B" w:rsidTr="00AF647D">
        <w:tc>
          <w:tcPr>
            <w:tcW w:w="1378" w:type="dxa"/>
            <w:tcBorders>
              <w:top w:val="single" w:sz="4" w:space="0" w:color="auto"/>
            </w:tcBorders>
          </w:tcPr>
          <w:p w14:paraId="1BF903AD" w14:textId="07262616" w:rsidR="005E1B73" w:rsidRPr="009E2937" w:rsidRDefault="005E1B73" w:rsidP="00EE05DD">
            <w:pPr>
              <w:spacing w:before="60" w:after="60" w:line="276" w:lineRule="auto"/>
              <w:jc w:val="both"/>
              <w:rPr>
                <w:rFonts w:ascii="Arial" w:hAnsi="Arial" w:cs="Arial"/>
              </w:rPr>
            </w:pPr>
            <w:r w:rsidRPr="009E2937">
              <w:rPr>
                <w:rFonts w:ascii="Arial" w:hAnsi="Arial" w:cs="Arial"/>
              </w:rPr>
              <w:t>External sources</w:t>
            </w:r>
          </w:p>
        </w:tc>
        <w:tc>
          <w:tcPr>
            <w:tcW w:w="1176" w:type="dxa"/>
            <w:tcBorders>
              <w:top w:val="single" w:sz="4" w:space="0" w:color="auto"/>
            </w:tcBorders>
            <w:vAlign w:val="center"/>
          </w:tcPr>
          <w:p w14:paraId="3B0ECEDA" w14:textId="01057314" w:rsidR="005E1B73" w:rsidRPr="009E2937" w:rsidRDefault="005E1B73" w:rsidP="00EE05DD">
            <w:pPr>
              <w:spacing w:before="60" w:after="60" w:line="276" w:lineRule="auto"/>
              <w:jc w:val="both"/>
              <w:rPr>
                <w:rFonts w:ascii="Arial" w:hAnsi="Arial" w:cs="Arial"/>
              </w:rPr>
            </w:pPr>
            <w:r>
              <w:rPr>
                <w:rFonts w:ascii="Arial" w:hAnsi="Arial" w:cs="Arial"/>
              </w:rPr>
              <w:t>18,765</w:t>
            </w:r>
          </w:p>
        </w:tc>
        <w:tc>
          <w:tcPr>
            <w:tcW w:w="1177" w:type="dxa"/>
            <w:tcBorders>
              <w:top w:val="single" w:sz="4" w:space="0" w:color="auto"/>
            </w:tcBorders>
            <w:vAlign w:val="center"/>
          </w:tcPr>
          <w:p w14:paraId="42225437" w14:textId="2E95621A" w:rsidR="005E1B73" w:rsidRPr="003500F3" w:rsidRDefault="001F0D3D" w:rsidP="00EE05DD">
            <w:pPr>
              <w:spacing w:before="60" w:after="60" w:line="276" w:lineRule="auto"/>
              <w:jc w:val="both"/>
              <w:rPr>
                <w:rFonts w:ascii="Arial" w:hAnsi="Arial" w:cs="Arial"/>
                <w:highlight w:val="cyan"/>
              </w:rPr>
            </w:pPr>
            <w:r>
              <w:rPr>
                <w:rFonts w:ascii="Arial" w:hAnsi="Arial" w:cs="Arial"/>
              </w:rPr>
              <w:t xml:space="preserve">  </w:t>
            </w:r>
            <w:r w:rsidR="005E1B73">
              <w:rPr>
                <w:rFonts w:ascii="Arial" w:hAnsi="Arial" w:cs="Arial"/>
              </w:rPr>
              <w:t>19,548</w:t>
            </w:r>
          </w:p>
        </w:tc>
        <w:tc>
          <w:tcPr>
            <w:tcW w:w="1176" w:type="dxa"/>
            <w:tcBorders>
              <w:top w:val="single" w:sz="4" w:space="0" w:color="auto"/>
            </w:tcBorders>
            <w:vAlign w:val="center"/>
          </w:tcPr>
          <w:p w14:paraId="49E7EB96" w14:textId="435ECECB" w:rsidR="005E1B73" w:rsidRDefault="001F0D3D" w:rsidP="001F0D3D">
            <w:pPr>
              <w:spacing w:before="60" w:after="60" w:line="276" w:lineRule="auto"/>
              <w:jc w:val="both"/>
              <w:rPr>
                <w:rFonts w:ascii="Arial" w:hAnsi="Arial" w:cs="Arial"/>
              </w:rPr>
            </w:pPr>
            <w:r>
              <w:rPr>
                <w:rFonts w:ascii="Arial" w:hAnsi="Arial" w:cs="Arial"/>
              </w:rPr>
              <w:t xml:space="preserve">  </w:t>
            </w:r>
            <w:r w:rsidR="005E1B73" w:rsidRPr="005E1B73">
              <w:rPr>
                <w:rFonts w:ascii="Arial" w:hAnsi="Arial" w:cs="Arial"/>
              </w:rPr>
              <w:t>21,04</w:t>
            </w:r>
            <w:r>
              <w:rPr>
                <w:rFonts w:ascii="Arial" w:hAnsi="Arial" w:cs="Arial"/>
              </w:rPr>
              <w:t>6</w:t>
            </w:r>
          </w:p>
        </w:tc>
        <w:tc>
          <w:tcPr>
            <w:tcW w:w="1176" w:type="dxa"/>
            <w:tcBorders>
              <w:top w:val="single" w:sz="4" w:space="0" w:color="auto"/>
            </w:tcBorders>
            <w:vAlign w:val="center"/>
          </w:tcPr>
          <w:p w14:paraId="05B307E5" w14:textId="180D1B95" w:rsidR="005E1B73" w:rsidRPr="003500F3" w:rsidRDefault="005E1B73" w:rsidP="00EE05DD">
            <w:pPr>
              <w:spacing w:before="60" w:after="60" w:line="276" w:lineRule="auto"/>
              <w:jc w:val="both"/>
              <w:rPr>
                <w:rFonts w:ascii="Arial" w:hAnsi="Arial" w:cs="Arial"/>
                <w:highlight w:val="cyan"/>
              </w:rPr>
            </w:pPr>
            <w:r>
              <w:rPr>
                <w:rFonts w:ascii="Arial" w:hAnsi="Arial" w:cs="Arial"/>
              </w:rPr>
              <w:t>16,838</w:t>
            </w:r>
          </w:p>
        </w:tc>
      </w:tr>
      <w:tr w:rsidR="005E1B73" w:rsidRPr="00D85345" w14:paraId="55026EC7" w14:textId="73809AD0" w:rsidTr="00AF647D">
        <w:tc>
          <w:tcPr>
            <w:tcW w:w="1378" w:type="dxa"/>
          </w:tcPr>
          <w:p w14:paraId="3EC90FDA" w14:textId="19E1A13B" w:rsidR="005E1B73" w:rsidRPr="009E2937" w:rsidRDefault="005E1B73" w:rsidP="00EE05DD">
            <w:pPr>
              <w:spacing w:before="60" w:after="60" w:line="276" w:lineRule="auto"/>
              <w:jc w:val="both"/>
              <w:rPr>
                <w:rFonts w:ascii="Arial" w:hAnsi="Arial" w:cs="Arial"/>
              </w:rPr>
            </w:pPr>
            <w:r w:rsidRPr="009E2937">
              <w:rPr>
                <w:rFonts w:ascii="Arial" w:hAnsi="Arial" w:cs="Arial"/>
              </w:rPr>
              <w:t>Own resources</w:t>
            </w:r>
          </w:p>
        </w:tc>
        <w:tc>
          <w:tcPr>
            <w:tcW w:w="1176" w:type="dxa"/>
            <w:vAlign w:val="center"/>
          </w:tcPr>
          <w:p w14:paraId="4271EE12" w14:textId="42781599" w:rsidR="005E1B73" w:rsidRPr="009E2937" w:rsidRDefault="005E1B73" w:rsidP="00EE05DD">
            <w:pPr>
              <w:spacing w:before="60" w:after="60" w:line="276" w:lineRule="auto"/>
              <w:jc w:val="both"/>
              <w:rPr>
                <w:rFonts w:ascii="Arial" w:hAnsi="Arial" w:cs="Arial"/>
              </w:rPr>
            </w:pPr>
            <w:r>
              <w:rPr>
                <w:rFonts w:ascii="Arial" w:hAnsi="Arial" w:cs="Arial"/>
              </w:rPr>
              <w:t>16,890</w:t>
            </w:r>
          </w:p>
        </w:tc>
        <w:tc>
          <w:tcPr>
            <w:tcW w:w="1177" w:type="dxa"/>
            <w:vAlign w:val="center"/>
          </w:tcPr>
          <w:p w14:paraId="27C6F425" w14:textId="3804E36B" w:rsidR="005E1B73" w:rsidRPr="003500F3" w:rsidRDefault="001F0D3D" w:rsidP="00EE05DD">
            <w:pPr>
              <w:spacing w:before="60" w:after="60" w:line="276" w:lineRule="auto"/>
              <w:jc w:val="both"/>
              <w:rPr>
                <w:rFonts w:ascii="Arial" w:hAnsi="Arial" w:cs="Arial"/>
                <w:highlight w:val="cyan"/>
              </w:rPr>
            </w:pPr>
            <w:r>
              <w:rPr>
                <w:rFonts w:ascii="Arial" w:hAnsi="Arial" w:cs="Arial"/>
              </w:rPr>
              <w:t xml:space="preserve">  </w:t>
            </w:r>
            <w:r w:rsidR="005E1B73">
              <w:rPr>
                <w:rFonts w:ascii="Arial" w:hAnsi="Arial" w:cs="Arial"/>
              </w:rPr>
              <w:t>14,016</w:t>
            </w:r>
          </w:p>
        </w:tc>
        <w:tc>
          <w:tcPr>
            <w:tcW w:w="1176" w:type="dxa"/>
            <w:vAlign w:val="center"/>
          </w:tcPr>
          <w:p w14:paraId="47F54CF5" w14:textId="78C4FC02" w:rsidR="005E1B73" w:rsidRDefault="001F0D3D" w:rsidP="001F0D3D">
            <w:pPr>
              <w:spacing w:before="60" w:after="60" w:line="276" w:lineRule="auto"/>
              <w:jc w:val="both"/>
              <w:rPr>
                <w:rFonts w:ascii="Arial" w:hAnsi="Arial" w:cs="Arial"/>
              </w:rPr>
            </w:pPr>
            <w:r>
              <w:rPr>
                <w:rFonts w:ascii="Arial" w:hAnsi="Arial" w:cs="Arial"/>
              </w:rPr>
              <w:t xml:space="preserve">    </w:t>
            </w:r>
            <w:r w:rsidR="005E1B73" w:rsidRPr="005E1B73">
              <w:rPr>
                <w:rFonts w:ascii="Arial" w:hAnsi="Arial" w:cs="Arial"/>
              </w:rPr>
              <w:t>7,411</w:t>
            </w:r>
          </w:p>
        </w:tc>
        <w:tc>
          <w:tcPr>
            <w:tcW w:w="1176" w:type="dxa"/>
            <w:vAlign w:val="center"/>
          </w:tcPr>
          <w:p w14:paraId="50F370CF" w14:textId="6145A5C4" w:rsidR="005E1B73" w:rsidRPr="003500F3" w:rsidRDefault="005E1B73" w:rsidP="00EE05DD">
            <w:pPr>
              <w:spacing w:before="60" w:after="60" w:line="276" w:lineRule="auto"/>
              <w:jc w:val="both"/>
              <w:rPr>
                <w:rFonts w:ascii="Arial" w:hAnsi="Arial" w:cs="Arial"/>
                <w:highlight w:val="cyan"/>
              </w:rPr>
            </w:pPr>
            <w:r>
              <w:rPr>
                <w:rFonts w:ascii="Arial" w:hAnsi="Arial" w:cs="Arial"/>
              </w:rPr>
              <w:t>16,496</w:t>
            </w:r>
          </w:p>
        </w:tc>
      </w:tr>
      <w:tr w:rsidR="005E1B73" w:rsidRPr="00D85345" w14:paraId="7BDE147E" w14:textId="0FAD40AE" w:rsidTr="00AF647D">
        <w:tc>
          <w:tcPr>
            <w:tcW w:w="1378" w:type="dxa"/>
          </w:tcPr>
          <w:p w14:paraId="5960BC95" w14:textId="36FD9EDF" w:rsidR="005E1B73" w:rsidRPr="009E2937" w:rsidRDefault="005E1B73" w:rsidP="00EE05DD">
            <w:pPr>
              <w:spacing w:before="60" w:after="60" w:line="276" w:lineRule="auto"/>
              <w:jc w:val="both"/>
              <w:rPr>
                <w:rFonts w:ascii="Arial" w:hAnsi="Arial" w:cs="Arial"/>
              </w:rPr>
            </w:pPr>
            <w:r w:rsidRPr="009E2937">
              <w:rPr>
                <w:rFonts w:ascii="Arial" w:hAnsi="Arial" w:cs="Arial"/>
              </w:rPr>
              <w:t>Debt</w:t>
            </w:r>
          </w:p>
        </w:tc>
        <w:tc>
          <w:tcPr>
            <w:tcW w:w="1176" w:type="dxa"/>
            <w:vAlign w:val="center"/>
          </w:tcPr>
          <w:p w14:paraId="6F2F765E" w14:textId="190C7114" w:rsidR="005E1B73" w:rsidRPr="009E2937" w:rsidRDefault="005E1B73" w:rsidP="00EE05DD">
            <w:pPr>
              <w:spacing w:before="60" w:after="60" w:line="276" w:lineRule="auto"/>
              <w:jc w:val="both"/>
              <w:rPr>
                <w:rFonts w:ascii="Arial" w:hAnsi="Arial" w:cs="Arial"/>
              </w:rPr>
            </w:pPr>
            <w:r>
              <w:rPr>
                <w:rFonts w:ascii="Arial" w:hAnsi="Arial" w:cs="Arial"/>
              </w:rPr>
              <w:t>58,476</w:t>
            </w:r>
          </w:p>
        </w:tc>
        <w:tc>
          <w:tcPr>
            <w:tcW w:w="1177" w:type="dxa"/>
            <w:vAlign w:val="center"/>
          </w:tcPr>
          <w:p w14:paraId="0ADCF6FA" w14:textId="6CE2548C" w:rsidR="005E1B73" w:rsidRPr="003500F3" w:rsidRDefault="005E1B73" w:rsidP="00EE05DD">
            <w:pPr>
              <w:spacing w:before="60" w:after="60" w:line="276" w:lineRule="auto"/>
              <w:jc w:val="both"/>
              <w:rPr>
                <w:rFonts w:ascii="Arial" w:hAnsi="Arial" w:cs="Arial"/>
                <w:highlight w:val="cyan"/>
              </w:rPr>
            </w:pPr>
            <w:r>
              <w:rPr>
                <w:rFonts w:ascii="Arial" w:hAnsi="Arial" w:cs="Arial"/>
              </w:rPr>
              <w:t>115,311</w:t>
            </w:r>
          </w:p>
        </w:tc>
        <w:tc>
          <w:tcPr>
            <w:tcW w:w="1176" w:type="dxa"/>
            <w:vAlign w:val="center"/>
          </w:tcPr>
          <w:p w14:paraId="26BE6F90" w14:textId="3D110FD1" w:rsidR="005E1B73" w:rsidRDefault="001F0D3D" w:rsidP="00EE05DD">
            <w:pPr>
              <w:spacing w:before="60" w:after="60" w:line="276" w:lineRule="auto"/>
              <w:jc w:val="both"/>
              <w:rPr>
                <w:rFonts w:ascii="Arial" w:hAnsi="Arial" w:cs="Arial"/>
              </w:rPr>
            </w:pPr>
            <w:r>
              <w:rPr>
                <w:rFonts w:ascii="Arial" w:hAnsi="Arial" w:cs="Arial"/>
              </w:rPr>
              <w:t xml:space="preserve">  </w:t>
            </w:r>
            <w:r w:rsidR="005E1B73" w:rsidRPr="005E1B73">
              <w:rPr>
                <w:rFonts w:ascii="Arial" w:hAnsi="Arial" w:cs="Arial"/>
              </w:rPr>
              <w:t>95,803</w:t>
            </w:r>
          </w:p>
        </w:tc>
        <w:tc>
          <w:tcPr>
            <w:tcW w:w="1176" w:type="dxa"/>
            <w:vAlign w:val="center"/>
          </w:tcPr>
          <w:p w14:paraId="22831374" w14:textId="28963D67" w:rsidR="005E1B73" w:rsidRPr="003500F3" w:rsidRDefault="005E1B73" w:rsidP="00EE05DD">
            <w:pPr>
              <w:spacing w:before="60" w:after="60" w:line="276" w:lineRule="auto"/>
              <w:jc w:val="both"/>
              <w:rPr>
                <w:rFonts w:ascii="Arial" w:hAnsi="Arial" w:cs="Arial"/>
                <w:highlight w:val="cyan"/>
              </w:rPr>
            </w:pPr>
            <w:r>
              <w:rPr>
                <w:rFonts w:ascii="Arial" w:hAnsi="Arial" w:cs="Arial"/>
              </w:rPr>
              <w:t>50,509</w:t>
            </w:r>
          </w:p>
        </w:tc>
      </w:tr>
      <w:tr w:rsidR="005E1B73" w:rsidRPr="00D85345" w14:paraId="33F30562" w14:textId="2F810FC7" w:rsidTr="00AF647D">
        <w:tc>
          <w:tcPr>
            <w:tcW w:w="1378" w:type="dxa"/>
            <w:shd w:val="clear" w:color="auto" w:fill="BFBFBF" w:themeFill="background1" w:themeFillShade="BF"/>
          </w:tcPr>
          <w:p w14:paraId="11C518CB" w14:textId="77777777" w:rsidR="005E1B73" w:rsidRPr="009E2937" w:rsidRDefault="005E1B73" w:rsidP="00EE05DD">
            <w:pPr>
              <w:tabs>
                <w:tab w:val="left" w:pos="4395"/>
              </w:tabs>
              <w:spacing w:before="60" w:after="60" w:line="276" w:lineRule="auto"/>
              <w:jc w:val="both"/>
              <w:rPr>
                <w:rFonts w:ascii="Arial" w:hAnsi="Arial" w:cs="Arial"/>
                <w:b/>
              </w:rPr>
            </w:pPr>
            <w:r w:rsidRPr="009E2937">
              <w:rPr>
                <w:rFonts w:ascii="Arial" w:hAnsi="Arial" w:cs="Arial"/>
                <w:b/>
              </w:rPr>
              <w:t>TOTAL</w:t>
            </w:r>
          </w:p>
        </w:tc>
        <w:tc>
          <w:tcPr>
            <w:tcW w:w="1176" w:type="dxa"/>
            <w:shd w:val="clear" w:color="auto" w:fill="BFBFBF" w:themeFill="background1" w:themeFillShade="BF"/>
            <w:vAlign w:val="center"/>
          </w:tcPr>
          <w:p w14:paraId="5154D054" w14:textId="364EBD11" w:rsidR="005E1B73" w:rsidRPr="009E2937" w:rsidRDefault="005E1B73" w:rsidP="00EE05DD">
            <w:pPr>
              <w:tabs>
                <w:tab w:val="left" w:pos="4395"/>
              </w:tabs>
              <w:spacing w:before="60" w:after="60" w:line="276" w:lineRule="auto"/>
              <w:jc w:val="both"/>
              <w:rPr>
                <w:rFonts w:ascii="Arial" w:hAnsi="Arial" w:cs="Arial"/>
                <w:b/>
              </w:rPr>
            </w:pPr>
            <w:r>
              <w:rPr>
                <w:rFonts w:ascii="Arial" w:hAnsi="Arial" w:cs="Arial"/>
                <w:b/>
                <w:bCs/>
              </w:rPr>
              <w:t>94,131</w:t>
            </w:r>
          </w:p>
        </w:tc>
        <w:tc>
          <w:tcPr>
            <w:tcW w:w="1177" w:type="dxa"/>
            <w:shd w:val="clear" w:color="auto" w:fill="BFBFBF" w:themeFill="background1" w:themeFillShade="BF"/>
            <w:vAlign w:val="center"/>
          </w:tcPr>
          <w:p w14:paraId="3DC90347" w14:textId="026F6F42" w:rsidR="005E1B73" w:rsidRPr="005E4B92" w:rsidRDefault="005E1B73" w:rsidP="00EE05DD">
            <w:pPr>
              <w:tabs>
                <w:tab w:val="left" w:pos="4395"/>
              </w:tabs>
              <w:spacing w:before="60" w:after="60" w:line="276" w:lineRule="auto"/>
              <w:jc w:val="both"/>
              <w:rPr>
                <w:rFonts w:ascii="Arial" w:hAnsi="Arial" w:cs="Arial"/>
                <w:b/>
              </w:rPr>
            </w:pPr>
            <w:r w:rsidRPr="005E4B92">
              <w:rPr>
                <w:rFonts w:ascii="Arial" w:hAnsi="Arial" w:cs="Arial"/>
                <w:b/>
                <w:bCs/>
              </w:rPr>
              <w:t>148,875</w:t>
            </w:r>
          </w:p>
        </w:tc>
        <w:tc>
          <w:tcPr>
            <w:tcW w:w="1176" w:type="dxa"/>
            <w:shd w:val="clear" w:color="auto" w:fill="BFBFBF" w:themeFill="background1" w:themeFillShade="BF"/>
            <w:vAlign w:val="center"/>
          </w:tcPr>
          <w:p w14:paraId="630E18A1" w14:textId="7B9AA044" w:rsidR="005E1B73" w:rsidRPr="005E4B92" w:rsidRDefault="005E1B73" w:rsidP="00EE05DD">
            <w:pPr>
              <w:tabs>
                <w:tab w:val="left" w:pos="4395"/>
              </w:tabs>
              <w:spacing w:before="60" w:after="60" w:line="276" w:lineRule="auto"/>
              <w:jc w:val="both"/>
              <w:rPr>
                <w:rFonts w:ascii="Arial" w:hAnsi="Arial" w:cs="Arial"/>
                <w:b/>
                <w:bCs/>
              </w:rPr>
            </w:pPr>
            <w:r w:rsidRPr="005E4B92">
              <w:rPr>
                <w:rFonts w:ascii="Arial" w:hAnsi="Arial" w:cs="Arial"/>
                <w:b/>
                <w:bCs/>
              </w:rPr>
              <w:t>124,260</w:t>
            </w:r>
          </w:p>
        </w:tc>
        <w:tc>
          <w:tcPr>
            <w:tcW w:w="1176" w:type="dxa"/>
            <w:shd w:val="clear" w:color="auto" w:fill="BFBFBF" w:themeFill="background1" w:themeFillShade="BF"/>
            <w:vAlign w:val="center"/>
          </w:tcPr>
          <w:p w14:paraId="15882510" w14:textId="72CAA44D" w:rsidR="005E1B73" w:rsidRPr="005E4B92" w:rsidRDefault="005E1B73" w:rsidP="00EE05DD">
            <w:pPr>
              <w:tabs>
                <w:tab w:val="left" w:pos="4395"/>
              </w:tabs>
              <w:spacing w:before="60" w:after="60" w:line="276" w:lineRule="auto"/>
              <w:jc w:val="both"/>
              <w:rPr>
                <w:rFonts w:ascii="Arial" w:hAnsi="Arial" w:cs="Arial"/>
                <w:b/>
              </w:rPr>
            </w:pPr>
            <w:r w:rsidRPr="005E4B92">
              <w:rPr>
                <w:rFonts w:ascii="Arial" w:hAnsi="Arial" w:cs="Arial"/>
                <w:b/>
                <w:bCs/>
              </w:rPr>
              <w:t>83,843</w:t>
            </w:r>
          </w:p>
        </w:tc>
      </w:tr>
    </w:tbl>
    <w:p w14:paraId="6A1471BD" w14:textId="77777777" w:rsidR="00DC3952" w:rsidRDefault="00DC3952" w:rsidP="00EE05DD">
      <w:pPr>
        <w:pStyle w:val="ListParagraph"/>
        <w:tabs>
          <w:tab w:val="left" w:pos="4395"/>
        </w:tabs>
        <w:spacing w:after="0" w:line="276" w:lineRule="auto"/>
        <w:ind w:left="360"/>
        <w:jc w:val="both"/>
        <w:rPr>
          <w:rFonts w:ascii="Arial" w:hAnsi="Arial" w:cs="Arial"/>
          <w:sz w:val="24"/>
          <w:szCs w:val="24"/>
        </w:rPr>
      </w:pPr>
    </w:p>
    <w:p w14:paraId="643D87D8" w14:textId="466509C1" w:rsidR="00AF647D" w:rsidRPr="00AF647D" w:rsidRDefault="006D7784" w:rsidP="00EE05DD">
      <w:pPr>
        <w:pStyle w:val="ListParagraph"/>
        <w:numPr>
          <w:ilvl w:val="0"/>
          <w:numId w:val="16"/>
        </w:numPr>
        <w:spacing w:after="0" w:line="276" w:lineRule="auto"/>
        <w:jc w:val="both"/>
        <w:rPr>
          <w:rFonts w:ascii="Arial" w:hAnsi="Arial" w:cs="Arial"/>
        </w:rPr>
      </w:pPr>
      <w:r w:rsidRPr="00AF647D">
        <w:rPr>
          <w:rFonts w:ascii="Arial" w:hAnsi="Arial" w:cs="Arial"/>
          <w:sz w:val="24"/>
          <w:szCs w:val="24"/>
        </w:rPr>
        <w:t>Debt is only a temporary source of finance, since loans and leases must be repaid, and this is therefore replaced over time by other financing, usually from revenue which is known as minimum revenue provision</w:t>
      </w:r>
      <w:r w:rsidR="00C43DCD" w:rsidRPr="00AF647D">
        <w:rPr>
          <w:rFonts w:ascii="Arial" w:hAnsi="Arial" w:cs="Arial"/>
          <w:sz w:val="24"/>
          <w:szCs w:val="24"/>
        </w:rPr>
        <w:t xml:space="preserve"> (MRP)</w:t>
      </w:r>
      <w:r w:rsidRPr="00AF647D">
        <w:rPr>
          <w:rFonts w:ascii="Arial" w:hAnsi="Arial" w:cs="Arial"/>
          <w:sz w:val="24"/>
          <w:szCs w:val="24"/>
        </w:rPr>
        <w:t>.</w:t>
      </w:r>
      <w:r w:rsidR="00C43DCD" w:rsidRPr="00AF647D">
        <w:rPr>
          <w:rFonts w:ascii="Arial" w:hAnsi="Arial" w:cs="Arial"/>
          <w:sz w:val="24"/>
          <w:szCs w:val="24"/>
        </w:rPr>
        <w:t xml:space="preserve"> Alternatively, proceeds from selling capital assets (known as capital receipts) may be used to replace debt finance.</w:t>
      </w:r>
      <w:r w:rsidR="00843036" w:rsidRPr="00AF647D">
        <w:rPr>
          <w:rFonts w:ascii="Arial" w:hAnsi="Arial" w:cs="Arial"/>
          <w:sz w:val="24"/>
          <w:szCs w:val="24"/>
        </w:rPr>
        <w:t xml:space="preserve"> MRP is a statutory mechanism for General Fund borrowing and details on how this is calculated is included in the MRP Statement policy. The HRA also provide a regular contribution towards it financing of debt. </w:t>
      </w:r>
      <w:r w:rsidR="00AF647D" w:rsidRPr="00AF647D">
        <w:rPr>
          <w:rFonts w:ascii="Arial" w:hAnsi="Arial" w:cs="Arial"/>
        </w:rPr>
        <w:t xml:space="preserve">As an indication of the current cost of the existing capital programme, the proposed Council budget for 2019/20 includes </w:t>
      </w:r>
      <w:r w:rsidR="00AF647D">
        <w:rPr>
          <w:rFonts w:ascii="Arial" w:hAnsi="Arial" w:cs="Arial"/>
        </w:rPr>
        <w:t>£32.6m for MRP and interest costs.</w:t>
      </w:r>
    </w:p>
    <w:p w14:paraId="3E3C4A7C" w14:textId="5350F7C1" w:rsidR="00AD21E1" w:rsidRDefault="00AD21E1" w:rsidP="00EE05DD">
      <w:pPr>
        <w:spacing w:after="200" w:line="276" w:lineRule="auto"/>
        <w:ind w:left="360"/>
        <w:contextualSpacing/>
        <w:jc w:val="both"/>
        <w:rPr>
          <w:rFonts w:ascii="Arial" w:hAnsi="Arial" w:cs="Arial"/>
          <w:b/>
          <w:sz w:val="24"/>
          <w:szCs w:val="24"/>
          <w:u w:val="single"/>
        </w:rPr>
      </w:pPr>
    </w:p>
    <w:p w14:paraId="1AC1CB0D" w14:textId="24B7F95C" w:rsidR="00C43DCD" w:rsidRDefault="00C43DCD" w:rsidP="00EE05DD">
      <w:pPr>
        <w:pStyle w:val="ListParagraph"/>
        <w:numPr>
          <w:ilvl w:val="0"/>
          <w:numId w:val="16"/>
        </w:numPr>
        <w:spacing w:after="0" w:line="276" w:lineRule="auto"/>
        <w:jc w:val="both"/>
        <w:rPr>
          <w:rFonts w:ascii="Arial" w:hAnsi="Arial" w:cs="Arial"/>
          <w:sz w:val="24"/>
          <w:szCs w:val="24"/>
        </w:rPr>
      </w:pPr>
      <w:r w:rsidRPr="00D85345">
        <w:rPr>
          <w:rFonts w:ascii="Arial" w:hAnsi="Arial" w:cs="Arial"/>
          <w:sz w:val="24"/>
          <w:szCs w:val="24"/>
        </w:rPr>
        <w:t xml:space="preserve">The Council’s cumulative outstanding amount of debt finance is measured by the capital financing requirement (CFR). This increases with new debt-financed capital expenditure and reduces with </w:t>
      </w:r>
      <w:r w:rsidRPr="00856053">
        <w:rPr>
          <w:rFonts w:ascii="Arial" w:hAnsi="Arial" w:cs="Arial"/>
          <w:sz w:val="24"/>
          <w:szCs w:val="24"/>
        </w:rPr>
        <w:t xml:space="preserve">MRP </w:t>
      </w:r>
      <w:r w:rsidRPr="00D85345">
        <w:rPr>
          <w:rFonts w:ascii="Arial" w:hAnsi="Arial" w:cs="Arial"/>
          <w:sz w:val="24"/>
          <w:szCs w:val="24"/>
        </w:rPr>
        <w:t xml:space="preserve">and capital receipts used to replace debt. </w:t>
      </w:r>
      <w:r w:rsidR="005662A0" w:rsidRPr="00D85345">
        <w:rPr>
          <w:rFonts w:ascii="Arial" w:hAnsi="Arial" w:cs="Arial"/>
          <w:sz w:val="24"/>
          <w:szCs w:val="24"/>
        </w:rPr>
        <w:t xml:space="preserve">The CFR is expected to </w:t>
      </w:r>
      <w:r w:rsidR="005662A0" w:rsidRPr="00856053">
        <w:rPr>
          <w:rFonts w:ascii="Arial" w:hAnsi="Arial" w:cs="Arial"/>
          <w:sz w:val="24"/>
          <w:szCs w:val="24"/>
        </w:rPr>
        <w:t>increase by</w:t>
      </w:r>
      <w:r w:rsidR="00040CF9">
        <w:rPr>
          <w:rFonts w:ascii="Arial" w:hAnsi="Arial" w:cs="Arial"/>
          <w:sz w:val="24"/>
          <w:szCs w:val="24"/>
        </w:rPr>
        <w:t xml:space="preserve"> </w:t>
      </w:r>
      <w:r w:rsidR="00040CF9" w:rsidRPr="008003A0">
        <w:rPr>
          <w:rFonts w:ascii="Arial" w:hAnsi="Arial" w:cs="Arial"/>
          <w:sz w:val="24"/>
          <w:szCs w:val="24"/>
        </w:rPr>
        <w:t>£</w:t>
      </w:r>
      <w:r w:rsidR="00412DAE" w:rsidRPr="008003A0">
        <w:rPr>
          <w:rFonts w:ascii="Arial" w:hAnsi="Arial" w:cs="Arial"/>
          <w:sz w:val="24"/>
          <w:szCs w:val="24"/>
        </w:rPr>
        <w:t>73,977</w:t>
      </w:r>
      <w:r w:rsidR="00284EE2" w:rsidRPr="008003A0">
        <w:rPr>
          <w:rFonts w:ascii="Arial" w:hAnsi="Arial" w:cs="Arial"/>
          <w:sz w:val="24"/>
          <w:szCs w:val="24"/>
        </w:rPr>
        <w:t>m</w:t>
      </w:r>
      <w:r w:rsidR="00040CF9">
        <w:rPr>
          <w:rFonts w:ascii="Arial" w:hAnsi="Arial" w:cs="Arial"/>
          <w:sz w:val="24"/>
          <w:szCs w:val="24"/>
        </w:rPr>
        <w:t xml:space="preserve"> </w:t>
      </w:r>
      <w:r w:rsidR="005662A0" w:rsidRPr="00D85345">
        <w:rPr>
          <w:rFonts w:ascii="Arial" w:hAnsi="Arial" w:cs="Arial"/>
          <w:sz w:val="24"/>
          <w:szCs w:val="24"/>
        </w:rPr>
        <w:t xml:space="preserve">during </w:t>
      </w:r>
      <w:r w:rsidR="005662A0" w:rsidRPr="00D85345">
        <w:rPr>
          <w:rFonts w:ascii="Arial" w:hAnsi="Arial" w:cs="Arial"/>
          <w:sz w:val="24"/>
          <w:szCs w:val="24"/>
        </w:rPr>
        <w:lastRenderedPageBreak/>
        <w:t>2019/20</w:t>
      </w:r>
      <w:r w:rsidR="00CD462C" w:rsidRPr="00D85345">
        <w:rPr>
          <w:rFonts w:ascii="Arial" w:hAnsi="Arial" w:cs="Arial"/>
          <w:sz w:val="24"/>
          <w:szCs w:val="24"/>
        </w:rPr>
        <w:t xml:space="preserve">. </w:t>
      </w:r>
      <w:r w:rsidRPr="00D85345">
        <w:rPr>
          <w:rFonts w:ascii="Arial" w:hAnsi="Arial" w:cs="Arial"/>
          <w:sz w:val="24"/>
          <w:szCs w:val="24"/>
        </w:rPr>
        <w:t>Based on the above figures</w:t>
      </w:r>
      <w:r w:rsidR="00EB6518" w:rsidRPr="00D85345">
        <w:rPr>
          <w:rFonts w:ascii="Arial" w:hAnsi="Arial" w:cs="Arial"/>
          <w:sz w:val="24"/>
          <w:szCs w:val="24"/>
        </w:rPr>
        <w:t xml:space="preserve"> for expenditure and financing</w:t>
      </w:r>
      <w:r w:rsidRPr="00D85345">
        <w:rPr>
          <w:rFonts w:ascii="Arial" w:hAnsi="Arial" w:cs="Arial"/>
          <w:sz w:val="24"/>
          <w:szCs w:val="24"/>
        </w:rPr>
        <w:t>, the Council’s estimated CFR is as follows:</w:t>
      </w:r>
    </w:p>
    <w:p w14:paraId="47F2479B" w14:textId="77777777" w:rsidR="005276FF" w:rsidRPr="00D85345" w:rsidRDefault="005276FF" w:rsidP="00EE05DD">
      <w:pPr>
        <w:pStyle w:val="ListParagraph"/>
        <w:spacing w:after="0" w:line="276" w:lineRule="auto"/>
        <w:ind w:left="360"/>
        <w:jc w:val="both"/>
        <w:rPr>
          <w:rFonts w:ascii="Arial" w:hAnsi="Arial" w:cs="Arial"/>
          <w:sz w:val="24"/>
          <w:szCs w:val="24"/>
        </w:rPr>
      </w:pPr>
    </w:p>
    <w:p w14:paraId="54CBF3C3" w14:textId="701AB907" w:rsidR="00C43DCD" w:rsidRPr="00844411" w:rsidRDefault="00C43DCD" w:rsidP="00EE05DD">
      <w:pPr>
        <w:spacing w:after="200" w:line="276" w:lineRule="auto"/>
        <w:ind w:left="360"/>
        <w:contextualSpacing/>
        <w:jc w:val="both"/>
        <w:rPr>
          <w:rFonts w:ascii="Arial" w:hAnsi="Arial" w:cs="Arial"/>
          <w:b/>
          <w:sz w:val="24"/>
          <w:szCs w:val="24"/>
          <w:u w:val="single"/>
        </w:rPr>
      </w:pPr>
      <w:r w:rsidRPr="00844411">
        <w:rPr>
          <w:rFonts w:ascii="Arial" w:hAnsi="Arial" w:cs="Arial"/>
          <w:b/>
          <w:sz w:val="24"/>
          <w:szCs w:val="24"/>
          <w:u w:val="single"/>
        </w:rPr>
        <w:t xml:space="preserve">Table </w:t>
      </w:r>
      <w:r w:rsidR="00EE05DD">
        <w:rPr>
          <w:rFonts w:ascii="Arial" w:hAnsi="Arial" w:cs="Arial"/>
          <w:b/>
          <w:sz w:val="24"/>
          <w:szCs w:val="24"/>
          <w:u w:val="single"/>
        </w:rPr>
        <w:t>3</w:t>
      </w:r>
      <w:r w:rsidRPr="00844411">
        <w:rPr>
          <w:rFonts w:ascii="Arial" w:hAnsi="Arial" w:cs="Arial"/>
          <w:b/>
          <w:sz w:val="24"/>
          <w:szCs w:val="24"/>
          <w:u w:val="single"/>
        </w:rPr>
        <w:t>: Prudential Indicator: Estimates of Capital Financing Requirement</w:t>
      </w:r>
      <w:r w:rsidR="006C3C8A" w:rsidRPr="00844411">
        <w:rPr>
          <w:rFonts w:ascii="Arial" w:hAnsi="Arial" w:cs="Arial"/>
          <w:b/>
          <w:sz w:val="24"/>
          <w:szCs w:val="24"/>
          <w:u w:val="single"/>
        </w:rPr>
        <w:t xml:space="preserve"> </w:t>
      </w:r>
    </w:p>
    <w:tbl>
      <w:tblPr>
        <w:tblStyle w:val="TableGrid"/>
        <w:tblW w:w="6569" w:type="dxa"/>
        <w:tblInd w:w="1243" w:type="dxa"/>
        <w:tblLook w:val="04A0" w:firstRow="1" w:lastRow="0" w:firstColumn="1" w:lastColumn="0" w:noHBand="0" w:noVBand="1"/>
      </w:tblPr>
      <w:tblGrid>
        <w:gridCol w:w="1676"/>
        <w:gridCol w:w="1223"/>
        <w:gridCol w:w="1223"/>
        <w:gridCol w:w="1224"/>
        <w:gridCol w:w="1223"/>
      </w:tblGrid>
      <w:tr w:rsidR="00261822" w:rsidRPr="00D85345" w14:paraId="40C670A1" w14:textId="36BC9A75" w:rsidTr="00EE05DD">
        <w:tc>
          <w:tcPr>
            <w:tcW w:w="16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DBED8" w14:textId="77777777" w:rsidR="00261822" w:rsidRPr="009E2937" w:rsidRDefault="00261822" w:rsidP="00EE05DD">
            <w:pPr>
              <w:spacing w:before="60" w:after="60" w:line="276" w:lineRule="auto"/>
              <w:jc w:val="both"/>
              <w:rPr>
                <w:rFonts w:ascii="Arial" w:hAnsi="Arial" w:cs="Arial"/>
              </w:rPr>
            </w:pPr>
          </w:p>
        </w:tc>
        <w:tc>
          <w:tcPr>
            <w:tcW w:w="1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2FF4E1" w14:textId="77777777" w:rsidR="00261822" w:rsidRDefault="00261822" w:rsidP="00EE05DD">
            <w:pPr>
              <w:spacing w:before="60" w:after="60" w:line="276" w:lineRule="auto"/>
              <w:jc w:val="both"/>
              <w:rPr>
                <w:rFonts w:ascii="Arial" w:hAnsi="Arial" w:cs="Arial"/>
                <w:b/>
              </w:rPr>
            </w:pPr>
            <w:r w:rsidRPr="009E2937">
              <w:rPr>
                <w:rFonts w:ascii="Arial" w:hAnsi="Arial" w:cs="Arial"/>
                <w:b/>
              </w:rPr>
              <w:t>31.3.2018 actual</w:t>
            </w:r>
          </w:p>
          <w:p w14:paraId="288F4521" w14:textId="3CD2258B" w:rsidR="00261822" w:rsidRPr="009E2937" w:rsidRDefault="00261822" w:rsidP="00EE05DD">
            <w:pPr>
              <w:spacing w:before="60" w:after="60" w:line="276" w:lineRule="auto"/>
              <w:jc w:val="both"/>
              <w:rPr>
                <w:rFonts w:ascii="Arial" w:hAnsi="Arial" w:cs="Arial"/>
                <w:b/>
              </w:rPr>
            </w:pPr>
            <w:r>
              <w:rPr>
                <w:rFonts w:ascii="Arial" w:hAnsi="Arial" w:cs="Arial"/>
                <w:b/>
              </w:rPr>
              <w:t>£m</w:t>
            </w:r>
          </w:p>
        </w:tc>
        <w:tc>
          <w:tcPr>
            <w:tcW w:w="1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FE5D79" w14:textId="77777777" w:rsidR="00261822" w:rsidRDefault="00261822" w:rsidP="00EE05DD">
            <w:pPr>
              <w:spacing w:before="60" w:after="60" w:line="276" w:lineRule="auto"/>
              <w:jc w:val="both"/>
              <w:rPr>
                <w:rFonts w:ascii="Arial" w:hAnsi="Arial" w:cs="Arial"/>
                <w:b/>
              </w:rPr>
            </w:pPr>
            <w:r w:rsidRPr="009E2937">
              <w:rPr>
                <w:rFonts w:ascii="Arial" w:hAnsi="Arial" w:cs="Arial"/>
                <w:b/>
              </w:rPr>
              <w:t>31.3.2019 forecast</w:t>
            </w:r>
          </w:p>
          <w:p w14:paraId="1B5BC29B" w14:textId="1754DC1A" w:rsidR="00261822" w:rsidRPr="009E2937" w:rsidRDefault="00261822" w:rsidP="00EE05DD">
            <w:pPr>
              <w:spacing w:before="60" w:after="60" w:line="276" w:lineRule="auto"/>
              <w:jc w:val="both"/>
              <w:rPr>
                <w:rFonts w:ascii="Arial" w:hAnsi="Arial" w:cs="Arial"/>
                <w:b/>
              </w:rPr>
            </w:pPr>
            <w:r>
              <w:rPr>
                <w:rFonts w:ascii="Arial" w:hAnsi="Arial" w:cs="Arial"/>
                <w:b/>
              </w:rPr>
              <w:t>£m</w:t>
            </w: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210CA" w14:textId="77777777" w:rsidR="00261822" w:rsidRDefault="00261822" w:rsidP="00EE05DD">
            <w:pPr>
              <w:spacing w:before="60" w:after="60" w:line="276" w:lineRule="auto"/>
              <w:jc w:val="both"/>
              <w:rPr>
                <w:rFonts w:ascii="Arial" w:hAnsi="Arial" w:cs="Arial"/>
                <w:b/>
              </w:rPr>
            </w:pPr>
            <w:r w:rsidRPr="009E2937">
              <w:rPr>
                <w:rFonts w:ascii="Arial" w:hAnsi="Arial" w:cs="Arial"/>
                <w:b/>
              </w:rPr>
              <w:t>31.3.2020 budget</w:t>
            </w:r>
          </w:p>
          <w:p w14:paraId="2A456FF4" w14:textId="26FAB66E" w:rsidR="00261822" w:rsidRPr="009E2937" w:rsidRDefault="00261822" w:rsidP="00EE05DD">
            <w:pPr>
              <w:spacing w:before="60" w:after="60" w:line="276" w:lineRule="auto"/>
              <w:jc w:val="both"/>
              <w:rPr>
                <w:rFonts w:ascii="Arial" w:hAnsi="Arial" w:cs="Arial"/>
                <w:b/>
              </w:rPr>
            </w:pPr>
            <w:r>
              <w:rPr>
                <w:rFonts w:ascii="Arial" w:hAnsi="Arial" w:cs="Arial"/>
                <w:b/>
              </w:rPr>
              <w:t>£m</w:t>
            </w:r>
          </w:p>
        </w:tc>
        <w:tc>
          <w:tcPr>
            <w:tcW w:w="12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80EC81" w14:textId="77777777" w:rsidR="00261822" w:rsidRDefault="00261822" w:rsidP="00EE05DD">
            <w:pPr>
              <w:spacing w:before="60" w:after="60" w:line="276" w:lineRule="auto"/>
              <w:jc w:val="both"/>
              <w:rPr>
                <w:rFonts w:ascii="Arial" w:hAnsi="Arial" w:cs="Arial"/>
                <w:b/>
              </w:rPr>
            </w:pPr>
            <w:r w:rsidRPr="009E2937">
              <w:rPr>
                <w:rFonts w:ascii="Arial" w:hAnsi="Arial" w:cs="Arial"/>
                <w:b/>
              </w:rPr>
              <w:t>31.3.2021 budget</w:t>
            </w:r>
          </w:p>
          <w:p w14:paraId="44E4AD98" w14:textId="37FDF618" w:rsidR="00261822" w:rsidRPr="009E2937" w:rsidRDefault="00261822" w:rsidP="00EE05DD">
            <w:pPr>
              <w:spacing w:before="60" w:after="60" w:line="276" w:lineRule="auto"/>
              <w:jc w:val="both"/>
              <w:rPr>
                <w:rFonts w:ascii="Arial" w:hAnsi="Arial" w:cs="Arial"/>
                <w:b/>
              </w:rPr>
            </w:pPr>
            <w:r>
              <w:rPr>
                <w:rFonts w:ascii="Arial" w:hAnsi="Arial" w:cs="Arial"/>
                <w:b/>
              </w:rPr>
              <w:t>£m</w:t>
            </w:r>
          </w:p>
        </w:tc>
      </w:tr>
      <w:tr w:rsidR="00261822" w:rsidRPr="00D85345" w14:paraId="13D38CF3" w14:textId="13152110" w:rsidTr="00EE05DD">
        <w:tc>
          <w:tcPr>
            <w:tcW w:w="1676" w:type="dxa"/>
            <w:tcBorders>
              <w:top w:val="single" w:sz="4" w:space="0" w:color="auto"/>
            </w:tcBorders>
          </w:tcPr>
          <w:p w14:paraId="17DB9C05" w14:textId="7111FC5D" w:rsidR="00261822" w:rsidRPr="009E2937" w:rsidRDefault="00261822" w:rsidP="00EE05DD">
            <w:pPr>
              <w:spacing w:before="60" w:after="60" w:line="276" w:lineRule="auto"/>
              <w:jc w:val="both"/>
              <w:rPr>
                <w:rFonts w:ascii="Arial" w:hAnsi="Arial" w:cs="Arial"/>
              </w:rPr>
            </w:pPr>
            <w:r w:rsidRPr="009E2937">
              <w:rPr>
                <w:rFonts w:ascii="Arial" w:hAnsi="Arial" w:cs="Arial"/>
              </w:rPr>
              <w:t>General Fund services</w:t>
            </w:r>
          </w:p>
        </w:tc>
        <w:tc>
          <w:tcPr>
            <w:tcW w:w="1223" w:type="dxa"/>
            <w:tcBorders>
              <w:top w:val="single" w:sz="4" w:space="0" w:color="auto"/>
            </w:tcBorders>
            <w:vAlign w:val="center"/>
          </w:tcPr>
          <w:p w14:paraId="11512645" w14:textId="77777777" w:rsidR="00791A54" w:rsidRPr="00EE05DD" w:rsidRDefault="00791A54" w:rsidP="00EE05DD">
            <w:pPr>
              <w:spacing w:before="60" w:after="60" w:line="276" w:lineRule="auto"/>
              <w:jc w:val="both"/>
              <w:rPr>
                <w:rFonts w:ascii="Arial" w:hAnsi="Arial" w:cs="Arial"/>
                <w:color w:val="000000"/>
              </w:rPr>
            </w:pPr>
          </w:p>
          <w:p w14:paraId="5EFD22E3" w14:textId="41E2E2F8" w:rsidR="00261822" w:rsidRPr="00EE05DD" w:rsidRDefault="00261822" w:rsidP="00EE05DD">
            <w:pPr>
              <w:spacing w:before="60" w:after="60" w:line="276" w:lineRule="auto"/>
              <w:jc w:val="both"/>
              <w:rPr>
                <w:rFonts w:ascii="Arial" w:hAnsi="Arial" w:cs="Arial"/>
              </w:rPr>
            </w:pPr>
            <w:r w:rsidRPr="00EE05DD">
              <w:rPr>
                <w:rFonts w:ascii="Arial" w:hAnsi="Arial" w:cs="Arial"/>
                <w:color w:val="000000"/>
              </w:rPr>
              <w:t>343,209</w:t>
            </w:r>
          </w:p>
        </w:tc>
        <w:tc>
          <w:tcPr>
            <w:tcW w:w="1223" w:type="dxa"/>
            <w:tcBorders>
              <w:top w:val="single" w:sz="4" w:space="0" w:color="auto"/>
            </w:tcBorders>
          </w:tcPr>
          <w:p w14:paraId="0C806F4D" w14:textId="77777777" w:rsidR="00791A54" w:rsidRPr="00EE05DD" w:rsidRDefault="00791A54" w:rsidP="00EE05DD">
            <w:pPr>
              <w:spacing w:before="60" w:after="60" w:line="276" w:lineRule="auto"/>
              <w:jc w:val="both"/>
              <w:rPr>
                <w:rFonts w:ascii="Arial" w:hAnsi="Arial" w:cs="Arial"/>
              </w:rPr>
            </w:pPr>
          </w:p>
          <w:p w14:paraId="30304BB6" w14:textId="2DACA955" w:rsidR="00261822" w:rsidRPr="00EE05DD" w:rsidRDefault="00261822" w:rsidP="00EE05DD">
            <w:pPr>
              <w:spacing w:before="60" w:after="60" w:line="276" w:lineRule="auto"/>
              <w:jc w:val="both"/>
              <w:rPr>
                <w:rFonts w:ascii="Arial" w:hAnsi="Arial" w:cs="Arial"/>
                <w:highlight w:val="cyan"/>
              </w:rPr>
            </w:pPr>
            <w:r w:rsidRPr="00EE05DD">
              <w:rPr>
                <w:rFonts w:ascii="Arial" w:hAnsi="Arial" w:cs="Arial"/>
              </w:rPr>
              <w:t>443,267</w:t>
            </w:r>
          </w:p>
        </w:tc>
        <w:tc>
          <w:tcPr>
            <w:tcW w:w="1224" w:type="dxa"/>
            <w:tcBorders>
              <w:top w:val="single" w:sz="4" w:space="0" w:color="auto"/>
            </w:tcBorders>
            <w:shd w:val="clear" w:color="auto" w:fill="E7E6E6" w:themeFill="background2"/>
          </w:tcPr>
          <w:p w14:paraId="363A9E16" w14:textId="77777777" w:rsidR="00791A54" w:rsidRPr="00EE05DD" w:rsidRDefault="00791A54" w:rsidP="00EE05DD">
            <w:pPr>
              <w:spacing w:before="60" w:after="60" w:line="276" w:lineRule="auto"/>
              <w:jc w:val="both"/>
              <w:rPr>
                <w:rFonts w:ascii="Arial" w:hAnsi="Arial" w:cs="Arial"/>
              </w:rPr>
            </w:pPr>
          </w:p>
          <w:p w14:paraId="47D55883" w14:textId="2814014C" w:rsidR="00261822" w:rsidRPr="00EE05DD" w:rsidRDefault="00261822" w:rsidP="00EE05DD">
            <w:pPr>
              <w:spacing w:before="60" w:after="60" w:line="276" w:lineRule="auto"/>
              <w:jc w:val="both"/>
              <w:rPr>
                <w:rFonts w:ascii="Arial" w:hAnsi="Arial" w:cs="Arial"/>
                <w:highlight w:val="cyan"/>
              </w:rPr>
            </w:pPr>
            <w:r w:rsidRPr="00EE05DD">
              <w:rPr>
                <w:rFonts w:ascii="Arial" w:hAnsi="Arial" w:cs="Arial"/>
              </w:rPr>
              <w:t>504,689</w:t>
            </w:r>
          </w:p>
        </w:tc>
        <w:tc>
          <w:tcPr>
            <w:tcW w:w="1223" w:type="dxa"/>
            <w:tcBorders>
              <w:top w:val="single" w:sz="4" w:space="0" w:color="auto"/>
            </w:tcBorders>
          </w:tcPr>
          <w:p w14:paraId="01CF85EA" w14:textId="77777777" w:rsidR="00791A54" w:rsidRPr="00EE05DD" w:rsidRDefault="00791A54" w:rsidP="00EE05DD">
            <w:pPr>
              <w:spacing w:before="60" w:after="60" w:line="276" w:lineRule="auto"/>
              <w:jc w:val="both"/>
              <w:rPr>
                <w:rFonts w:ascii="Arial" w:hAnsi="Arial" w:cs="Arial"/>
              </w:rPr>
            </w:pPr>
          </w:p>
          <w:p w14:paraId="5EB179CC" w14:textId="0782FE6B" w:rsidR="00261822" w:rsidRPr="00EE05DD" w:rsidRDefault="00261822" w:rsidP="00EE05DD">
            <w:pPr>
              <w:spacing w:before="60" w:after="60" w:line="276" w:lineRule="auto"/>
              <w:jc w:val="both"/>
              <w:rPr>
                <w:rFonts w:ascii="Arial" w:hAnsi="Arial" w:cs="Arial"/>
                <w:highlight w:val="cyan"/>
              </w:rPr>
            </w:pPr>
            <w:r w:rsidRPr="00EE05DD">
              <w:rPr>
                <w:rFonts w:ascii="Arial" w:hAnsi="Arial" w:cs="Arial"/>
              </w:rPr>
              <w:t>517,571</w:t>
            </w:r>
          </w:p>
        </w:tc>
      </w:tr>
      <w:tr w:rsidR="00261822" w:rsidRPr="00D85345" w14:paraId="38CE3600" w14:textId="5FE4F612" w:rsidTr="00EE05DD">
        <w:tc>
          <w:tcPr>
            <w:tcW w:w="1676" w:type="dxa"/>
          </w:tcPr>
          <w:p w14:paraId="35D30DFC" w14:textId="7B42FE44" w:rsidR="00261822" w:rsidRPr="009E2937" w:rsidRDefault="00261822" w:rsidP="00EE05DD">
            <w:pPr>
              <w:spacing w:before="60" w:after="60" w:line="276" w:lineRule="auto"/>
              <w:jc w:val="both"/>
              <w:rPr>
                <w:rFonts w:ascii="Arial" w:hAnsi="Arial" w:cs="Arial"/>
              </w:rPr>
            </w:pPr>
            <w:r w:rsidRPr="009E2937">
              <w:rPr>
                <w:rFonts w:ascii="Arial" w:hAnsi="Arial" w:cs="Arial"/>
              </w:rPr>
              <w:t>Council housing (HRA)</w:t>
            </w:r>
          </w:p>
        </w:tc>
        <w:tc>
          <w:tcPr>
            <w:tcW w:w="1223" w:type="dxa"/>
          </w:tcPr>
          <w:p w14:paraId="7CCC4FDD" w14:textId="568F9978" w:rsidR="00261822" w:rsidRPr="00EE05DD" w:rsidRDefault="00261822" w:rsidP="00EE05DD">
            <w:pPr>
              <w:spacing w:before="60" w:after="60" w:line="276" w:lineRule="auto"/>
              <w:jc w:val="both"/>
              <w:rPr>
                <w:rFonts w:ascii="Arial" w:hAnsi="Arial" w:cs="Arial"/>
              </w:rPr>
            </w:pPr>
            <w:r w:rsidRPr="00EE05DD">
              <w:rPr>
                <w:rFonts w:ascii="Arial" w:hAnsi="Arial" w:cs="Arial"/>
              </w:rPr>
              <w:t>151,015</w:t>
            </w:r>
          </w:p>
        </w:tc>
        <w:tc>
          <w:tcPr>
            <w:tcW w:w="1223" w:type="dxa"/>
          </w:tcPr>
          <w:p w14:paraId="4520D0E3" w14:textId="2A0D7CB9" w:rsidR="00261822" w:rsidRPr="00EE05DD" w:rsidRDefault="00261822" w:rsidP="00EE05DD">
            <w:pPr>
              <w:spacing w:before="60" w:after="60" w:line="276" w:lineRule="auto"/>
              <w:jc w:val="both"/>
              <w:rPr>
                <w:rFonts w:ascii="Arial" w:hAnsi="Arial" w:cs="Arial"/>
                <w:highlight w:val="cyan"/>
              </w:rPr>
            </w:pPr>
            <w:r w:rsidRPr="00EE05DD">
              <w:rPr>
                <w:rFonts w:ascii="Arial" w:hAnsi="Arial" w:cs="Arial"/>
              </w:rPr>
              <w:t>150,046</w:t>
            </w:r>
          </w:p>
        </w:tc>
        <w:tc>
          <w:tcPr>
            <w:tcW w:w="1224" w:type="dxa"/>
            <w:shd w:val="clear" w:color="auto" w:fill="E7E6E6" w:themeFill="background2"/>
          </w:tcPr>
          <w:p w14:paraId="16FA7B32" w14:textId="794DBD39" w:rsidR="00261822" w:rsidRPr="00EE05DD" w:rsidRDefault="00261822" w:rsidP="00EE05DD">
            <w:pPr>
              <w:spacing w:before="60" w:after="60" w:line="276" w:lineRule="auto"/>
              <w:jc w:val="both"/>
              <w:rPr>
                <w:rFonts w:ascii="Arial" w:hAnsi="Arial" w:cs="Arial"/>
                <w:highlight w:val="cyan"/>
              </w:rPr>
            </w:pPr>
            <w:r w:rsidRPr="00EE05DD">
              <w:rPr>
                <w:rFonts w:ascii="Arial" w:hAnsi="Arial" w:cs="Arial"/>
              </w:rPr>
              <w:t>162,622</w:t>
            </w:r>
          </w:p>
        </w:tc>
        <w:tc>
          <w:tcPr>
            <w:tcW w:w="1223" w:type="dxa"/>
          </w:tcPr>
          <w:p w14:paraId="2254E1C4" w14:textId="46A76AB5" w:rsidR="00261822" w:rsidRPr="00EE05DD" w:rsidRDefault="00261822" w:rsidP="00EE05DD">
            <w:pPr>
              <w:spacing w:before="60" w:after="60" w:line="276" w:lineRule="auto"/>
              <w:jc w:val="both"/>
              <w:rPr>
                <w:rFonts w:ascii="Arial" w:hAnsi="Arial" w:cs="Arial"/>
                <w:highlight w:val="cyan"/>
              </w:rPr>
            </w:pPr>
            <w:r w:rsidRPr="00EE05DD">
              <w:rPr>
                <w:rFonts w:ascii="Arial" w:hAnsi="Arial" w:cs="Arial"/>
              </w:rPr>
              <w:t>178,859</w:t>
            </w:r>
          </w:p>
        </w:tc>
      </w:tr>
      <w:tr w:rsidR="00261822" w:rsidRPr="00D85345" w14:paraId="5A4EEF94" w14:textId="382592BE" w:rsidTr="00EE05DD">
        <w:tc>
          <w:tcPr>
            <w:tcW w:w="1676" w:type="dxa"/>
            <w:shd w:val="clear" w:color="auto" w:fill="BFBFBF" w:themeFill="background1" w:themeFillShade="BF"/>
          </w:tcPr>
          <w:p w14:paraId="72B228B6" w14:textId="5D979930" w:rsidR="00261822" w:rsidRPr="009E2937" w:rsidRDefault="00261822" w:rsidP="00EE05DD">
            <w:pPr>
              <w:spacing w:before="60" w:after="60" w:line="276" w:lineRule="auto"/>
              <w:jc w:val="both"/>
              <w:rPr>
                <w:rFonts w:ascii="Arial" w:hAnsi="Arial" w:cs="Arial"/>
                <w:b/>
              </w:rPr>
            </w:pPr>
            <w:r w:rsidRPr="009E2937">
              <w:rPr>
                <w:rFonts w:ascii="Arial" w:hAnsi="Arial" w:cs="Arial"/>
                <w:b/>
              </w:rPr>
              <w:t>TOTAL CFR</w:t>
            </w:r>
          </w:p>
        </w:tc>
        <w:tc>
          <w:tcPr>
            <w:tcW w:w="1223" w:type="dxa"/>
            <w:shd w:val="clear" w:color="auto" w:fill="BFBFBF" w:themeFill="background1" w:themeFillShade="BF"/>
          </w:tcPr>
          <w:p w14:paraId="37D0BD76" w14:textId="0F537367" w:rsidR="00261822" w:rsidRPr="00EE05DD" w:rsidRDefault="00261822" w:rsidP="00EE05DD">
            <w:pPr>
              <w:spacing w:before="60" w:after="60" w:line="276" w:lineRule="auto"/>
              <w:jc w:val="both"/>
              <w:rPr>
                <w:rFonts w:ascii="Arial" w:hAnsi="Arial" w:cs="Arial"/>
                <w:b/>
              </w:rPr>
            </w:pPr>
            <w:r w:rsidRPr="00EE05DD">
              <w:rPr>
                <w:rFonts w:ascii="Arial" w:hAnsi="Arial" w:cs="Arial"/>
                <w:b/>
                <w:bCs/>
              </w:rPr>
              <w:t>494,224</w:t>
            </w:r>
          </w:p>
        </w:tc>
        <w:tc>
          <w:tcPr>
            <w:tcW w:w="1223" w:type="dxa"/>
            <w:shd w:val="clear" w:color="auto" w:fill="BFBFBF" w:themeFill="background1" w:themeFillShade="BF"/>
          </w:tcPr>
          <w:p w14:paraId="5E012EB5" w14:textId="16078387" w:rsidR="00261822" w:rsidRPr="00EE05DD" w:rsidRDefault="00261822" w:rsidP="00EE05DD">
            <w:pPr>
              <w:spacing w:before="60" w:after="60" w:line="276" w:lineRule="auto"/>
              <w:jc w:val="both"/>
              <w:rPr>
                <w:rFonts w:ascii="Arial" w:hAnsi="Arial" w:cs="Arial"/>
                <w:b/>
                <w:highlight w:val="cyan"/>
              </w:rPr>
            </w:pPr>
            <w:r w:rsidRPr="00EE05DD">
              <w:rPr>
                <w:rFonts w:ascii="Arial" w:hAnsi="Arial" w:cs="Arial"/>
                <w:b/>
                <w:bCs/>
              </w:rPr>
              <w:t>593,313</w:t>
            </w:r>
          </w:p>
        </w:tc>
        <w:tc>
          <w:tcPr>
            <w:tcW w:w="1224" w:type="dxa"/>
            <w:shd w:val="clear" w:color="auto" w:fill="BFBFBF" w:themeFill="background1" w:themeFillShade="BF"/>
          </w:tcPr>
          <w:p w14:paraId="6E69C399" w14:textId="254BAF06" w:rsidR="00261822" w:rsidRPr="00EE05DD" w:rsidRDefault="00261822" w:rsidP="001F0D3D">
            <w:pPr>
              <w:spacing w:before="60" w:after="60" w:line="276" w:lineRule="auto"/>
              <w:jc w:val="both"/>
              <w:rPr>
                <w:rFonts w:ascii="Arial" w:hAnsi="Arial" w:cs="Arial"/>
                <w:b/>
                <w:highlight w:val="cyan"/>
              </w:rPr>
            </w:pPr>
            <w:r w:rsidRPr="00EE05DD">
              <w:rPr>
                <w:rFonts w:ascii="Arial" w:hAnsi="Arial" w:cs="Arial"/>
                <w:b/>
                <w:bCs/>
              </w:rPr>
              <w:t>667,31</w:t>
            </w:r>
            <w:r w:rsidR="001F0D3D">
              <w:rPr>
                <w:rFonts w:ascii="Arial" w:hAnsi="Arial" w:cs="Arial"/>
                <w:b/>
                <w:bCs/>
              </w:rPr>
              <w:t>1</w:t>
            </w:r>
          </w:p>
        </w:tc>
        <w:tc>
          <w:tcPr>
            <w:tcW w:w="1223" w:type="dxa"/>
            <w:shd w:val="clear" w:color="auto" w:fill="BFBFBF" w:themeFill="background1" w:themeFillShade="BF"/>
          </w:tcPr>
          <w:p w14:paraId="6A81A95C" w14:textId="30C4942A" w:rsidR="00261822" w:rsidRPr="00EE05DD" w:rsidRDefault="00261822" w:rsidP="001F0D3D">
            <w:pPr>
              <w:spacing w:before="60" w:after="60" w:line="276" w:lineRule="auto"/>
              <w:jc w:val="both"/>
              <w:rPr>
                <w:rFonts w:ascii="Arial" w:hAnsi="Arial" w:cs="Arial"/>
                <w:b/>
                <w:highlight w:val="cyan"/>
              </w:rPr>
            </w:pPr>
            <w:r w:rsidRPr="00EE05DD">
              <w:rPr>
                <w:rFonts w:ascii="Arial" w:hAnsi="Arial" w:cs="Arial"/>
                <w:b/>
                <w:bCs/>
              </w:rPr>
              <w:t>696,4</w:t>
            </w:r>
            <w:r w:rsidR="001F0D3D">
              <w:rPr>
                <w:rFonts w:ascii="Arial" w:hAnsi="Arial" w:cs="Arial"/>
                <w:b/>
                <w:bCs/>
              </w:rPr>
              <w:t>30</w:t>
            </w:r>
          </w:p>
        </w:tc>
      </w:tr>
    </w:tbl>
    <w:p w14:paraId="29ADFA13" w14:textId="77777777" w:rsidR="00843036" w:rsidRDefault="00843036" w:rsidP="00EE05DD">
      <w:pPr>
        <w:spacing w:after="200" w:line="276" w:lineRule="auto"/>
        <w:jc w:val="both"/>
        <w:rPr>
          <w:rFonts w:ascii="Arial" w:hAnsi="Arial" w:cs="Arial"/>
          <w:b/>
          <w:sz w:val="24"/>
          <w:szCs w:val="24"/>
        </w:rPr>
      </w:pPr>
    </w:p>
    <w:p w14:paraId="4330DE15" w14:textId="40236A33" w:rsidR="001C0E44" w:rsidRPr="00D85345" w:rsidRDefault="00DE7BDA" w:rsidP="00EE05DD">
      <w:pPr>
        <w:spacing w:after="200" w:line="276" w:lineRule="auto"/>
        <w:jc w:val="both"/>
        <w:rPr>
          <w:rFonts w:ascii="Arial" w:hAnsi="Arial" w:cs="Arial"/>
          <w:sz w:val="24"/>
          <w:szCs w:val="24"/>
        </w:rPr>
      </w:pPr>
      <w:r w:rsidRPr="00D85345">
        <w:rPr>
          <w:rFonts w:ascii="Arial" w:hAnsi="Arial" w:cs="Arial"/>
          <w:b/>
          <w:sz w:val="24"/>
          <w:szCs w:val="24"/>
        </w:rPr>
        <w:t>Asset Management</w:t>
      </w:r>
      <w:r w:rsidRPr="00D85345">
        <w:rPr>
          <w:rFonts w:ascii="Arial" w:hAnsi="Arial" w:cs="Arial"/>
          <w:sz w:val="24"/>
          <w:szCs w:val="24"/>
        </w:rPr>
        <w:t xml:space="preserve"> </w:t>
      </w:r>
    </w:p>
    <w:p w14:paraId="240D5EEA" w14:textId="02D838A0" w:rsidR="009E2937" w:rsidRPr="009E2937" w:rsidRDefault="001C0E44" w:rsidP="00EE05DD">
      <w:pPr>
        <w:pStyle w:val="ListParagraph"/>
        <w:numPr>
          <w:ilvl w:val="0"/>
          <w:numId w:val="16"/>
        </w:numPr>
        <w:spacing w:after="0" w:line="276" w:lineRule="auto"/>
        <w:jc w:val="both"/>
        <w:rPr>
          <w:rFonts w:ascii="Arial" w:hAnsi="Arial" w:cs="Arial"/>
          <w:sz w:val="24"/>
          <w:szCs w:val="24"/>
        </w:rPr>
      </w:pPr>
      <w:r w:rsidRPr="00D85345">
        <w:rPr>
          <w:rFonts w:ascii="Arial" w:hAnsi="Arial" w:cs="Arial"/>
          <w:sz w:val="24"/>
          <w:szCs w:val="24"/>
        </w:rPr>
        <w:t>The maintenance and improvement of the Council’s property assets and wider infrastructure are managed and formally set out in the Council’s organisational structure, with specific service teams in place to manage various parts of the Council’s asset portfo</w:t>
      </w:r>
      <w:r w:rsidR="009E2937">
        <w:rPr>
          <w:rFonts w:ascii="Arial" w:hAnsi="Arial" w:cs="Arial"/>
          <w:sz w:val="24"/>
          <w:szCs w:val="24"/>
        </w:rPr>
        <w:t>lio.</w:t>
      </w:r>
    </w:p>
    <w:p w14:paraId="60A98A36" w14:textId="77777777" w:rsidR="009E2937" w:rsidRPr="00D85345" w:rsidRDefault="009E2937" w:rsidP="00EE05DD">
      <w:pPr>
        <w:pStyle w:val="ListParagraph"/>
        <w:spacing w:after="0" w:line="276" w:lineRule="auto"/>
        <w:ind w:left="426"/>
        <w:jc w:val="both"/>
        <w:rPr>
          <w:rFonts w:ascii="Arial" w:hAnsi="Arial" w:cs="Arial"/>
          <w:sz w:val="24"/>
          <w:szCs w:val="24"/>
        </w:rPr>
      </w:pPr>
    </w:p>
    <w:p w14:paraId="3862CF11" w14:textId="4C500C07" w:rsidR="001C0E44" w:rsidRDefault="001C0E44" w:rsidP="00EE05DD">
      <w:pPr>
        <w:pStyle w:val="ListParagraph"/>
        <w:numPr>
          <w:ilvl w:val="0"/>
          <w:numId w:val="16"/>
        </w:numPr>
        <w:spacing w:after="0" w:line="276" w:lineRule="auto"/>
        <w:jc w:val="both"/>
        <w:rPr>
          <w:rFonts w:ascii="Arial" w:hAnsi="Arial" w:cs="Arial"/>
          <w:sz w:val="24"/>
          <w:szCs w:val="24"/>
        </w:rPr>
      </w:pPr>
      <w:r w:rsidRPr="00D85345">
        <w:rPr>
          <w:rFonts w:ascii="Arial" w:hAnsi="Arial" w:cs="Arial"/>
          <w:sz w:val="24"/>
          <w:szCs w:val="24"/>
        </w:rPr>
        <w:t>In general</w:t>
      </w:r>
      <w:r w:rsidR="004B0781">
        <w:rPr>
          <w:rFonts w:ascii="Arial" w:hAnsi="Arial" w:cs="Arial"/>
          <w:sz w:val="24"/>
          <w:szCs w:val="24"/>
        </w:rPr>
        <w:t>,</w:t>
      </w:r>
      <w:r w:rsidRPr="00D85345">
        <w:rPr>
          <w:rFonts w:ascii="Arial" w:hAnsi="Arial" w:cs="Arial"/>
          <w:sz w:val="24"/>
          <w:szCs w:val="24"/>
        </w:rPr>
        <w:t xml:space="preserve"> a</w:t>
      </w:r>
      <w:r w:rsidR="00DE7BDA" w:rsidRPr="00D85345">
        <w:rPr>
          <w:rFonts w:ascii="Arial" w:hAnsi="Arial" w:cs="Arial"/>
          <w:sz w:val="24"/>
          <w:szCs w:val="24"/>
        </w:rPr>
        <w:t>ssets are managed in accordance with the principles of good estate management</w:t>
      </w:r>
      <w:r w:rsidR="004B0781">
        <w:rPr>
          <w:rFonts w:ascii="Arial" w:hAnsi="Arial" w:cs="Arial"/>
          <w:sz w:val="24"/>
          <w:szCs w:val="24"/>
        </w:rPr>
        <w:t>.</w:t>
      </w:r>
      <w:r w:rsidR="00DE7BDA" w:rsidRPr="00D85345">
        <w:rPr>
          <w:rFonts w:ascii="Arial" w:hAnsi="Arial" w:cs="Arial"/>
          <w:sz w:val="24"/>
          <w:szCs w:val="24"/>
        </w:rPr>
        <w:t xml:space="preserve"> </w:t>
      </w:r>
      <w:r w:rsidR="00263E86" w:rsidRPr="00D85345">
        <w:rPr>
          <w:rFonts w:ascii="Arial" w:hAnsi="Arial" w:cs="Arial"/>
          <w:sz w:val="24"/>
          <w:szCs w:val="24"/>
        </w:rPr>
        <w:t xml:space="preserve">The Council </w:t>
      </w:r>
      <w:r w:rsidR="00617744" w:rsidRPr="00D85345">
        <w:rPr>
          <w:rFonts w:ascii="Arial" w:hAnsi="Arial" w:cs="Arial"/>
          <w:sz w:val="24"/>
          <w:szCs w:val="24"/>
        </w:rPr>
        <w:t>seeks continuous improvement in the quality of assets used to deliver services and wherever possible use its ownership of assets to deliver service improvements.</w:t>
      </w:r>
      <w:r w:rsidR="00DE7BDA" w:rsidRPr="00D85345">
        <w:rPr>
          <w:rFonts w:ascii="Arial" w:hAnsi="Arial" w:cs="Arial"/>
          <w:sz w:val="24"/>
          <w:szCs w:val="24"/>
        </w:rPr>
        <w:t xml:space="preserve"> </w:t>
      </w:r>
    </w:p>
    <w:p w14:paraId="7A7B6750" w14:textId="77777777" w:rsidR="0039018B" w:rsidRDefault="0039018B" w:rsidP="00EE05DD">
      <w:pPr>
        <w:spacing w:after="0" w:line="276" w:lineRule="auto"/>
        <w:jc w:val="both"/>
        <w:rPr>
          <w:rFonts w:ascii="Arial" w:hAnsi="Arial" w:cs="Arial"/>
          <w:b/>
          <w:sz w:val="24"/>
          <w:szCs w:val="24"/>
        </w:rPr>
      </w:pPr>
    </w:p>
    <w:p w14:paraId="601A582E" w14:textId="160A9476" w:rsidR="001C0E44" w:rsidRPr="00D85345" w:rsidRDefault="001C0E44" w:rsidP="00EE05DD">
      <w:pPr>
        <w:spacing w:after="200" w:line="276" w:lineRule="auto"/>
        <w:jc w:val="both"/>
        <w:rPr>
          <w:rFonts w:ascii="Arial" w:hAnsi="Arial" w:cs="Arial"/>
          <w:b/>
          <w:sz w:val="24"/>
          <w:szCs w:val="24"/>
        </w:rPr>
      </w:pPr>
      <w:r w:rsidRPr="00D85345">
        <w:rPr>
          <w:rFonts w:ascii="Arial" w:hAnsi="Arial" w:cs="Arial"/>
          <w:b/>
          <w:sz w:val="24"/>
          <w:szCs w:val="24"/>
        </w:rPr>
        <w:t>Asset Disposals</w:t>
      </w:r>
    </w:p>
    <w:p w14:paraId="2DB01957" w14:textId="24D9F6DC" w:rsidR="001C0E44" w:rsidRPr="00016577" w:rsidRDefault="005D54D4" w:rsidP="00EE05DD">
      <w:pPr>
        <w:pStyle w:val="ListParagraph"/>
        <w:numPr>
          <w:ilvl w:val="0"/>
          <w:numId w:val="16"/>
        </w:numPr>
        <w:spacing w:after="200" w:line="276" w:lineRule="auto"/>
        <w:jc w:val="both"/>
        <w:rPr>
          <w:rFonts w:ascii="Arial" w:hAnsi="Arial" w:cs="Arial"/>
          <w:sz w:val="24"/>
          <w:szCs w:val="24"/>
        </w:rPr>
      </w:pPr>
      <w:r w:rsidRPr="00016577">
        <w:rPr>
          <w:rFonts w:ascii="Arial" w:hAnsi="Arial" w:cs="Arial"/>
          <w:sz w:val="24"/>
          <w:szCs w:val="24"/>
        </w:rPr>
        <w:t>A</w:t>
      </w:r>
      <w:r w:rsidR="001C0E44" w:rsidRPr="00016577">
        <w:rPr>
          <w:rFonts w:ascii="Arial" w:hAnsi="Arial" w:cs="Arial"/>
          <w:sz w:val="24"/>
          <w:szCs w:val="24"/>
        </w:rPr>
        <w:t>ssets are co</w:t>
      </w:r>
      <w:r w:rsidRPr="00016577">
        <w:rPr>
          <w:rFonts w:ascii="Arial" w:hAnsi="Arial" w:cs="Arial"/>
          <w:sz w:val="24"/>
          <w:szCs w:val="24"/>
        </w:rPr>
        <w:t>ntinually</w:t>
      </w:r>
      <w:r w:rsidR="001C0E44" w:rsidRPr="00016577">
        <w:rPr>
          <w:rFonts w:ascii="Arial" w:hAnsi="Arial" w:cs="Arial"/>
          <w:sz w:val="24"/>
          <w:szCs w:val="24"/>
        </w:rPr>
        <w:t xml:space="preserve"> reviewed</w:t>
      </w:r>
      <w:r w:rsidRPr="00016577">
        <w:rPr>
          <w:rFonts w:ascii="Arial" w:hAnsi="Arial" w:cs="Arial"/>
          <w:sz w:val="24"/>
          <w:szCs w:val="24"/>
        </w:rPr>
        <w:t>,</w:t>
      </w:r>
      <w:r w:rsidR="001C0E44" w:rsidRPr="00016577">
        <w:rPr>
          <w:rFonts w:ascii="Arial" w:hAnsi="Arial" w:cs="Arial"/>
          <w:sz w:val="24"/>
          <w:szCs w:val="24"/>
        </w:rPr>
        <w:t xml:space="preserve"> to determine those </w:t>
      </w:r>
      <w:r w:rsidRPr="00016577">
        <w:rPr>
          <w:rFonts w:ascii="Arial" w:hAnsi="Arial" w:cs="Arial"/>
          <w:sz w:val="24"/>
          <w:szCs w:val="24"/>
        </w:rPr>
        <w:t>that</w:t>
      </w:r>
      <w:r w:rsidR="001C0E44" w:rsidRPr="00016577">
        <w:rPr>
          <w:rFonts w:ascii="Arial" w:hAnsi="Arial" w:cs="Arial"/>
          <w:sz w:val="24"/>
          <w:szCs w:val="24"/>
        </w:rPr>
        <w:t xml:space="preserve"> may be declared surplus to service requirements</w:t>
      </w:r>
      <w:r w:rsidR="00481A90" w:rsidRPr="00016577">
        <w:rPr>
          <w:rFonts w:ascii="Arial" w:hAnsi="Arial" w:cs="Arial"/>
          <w:sz w:val="24"/>
          <w:szCs w:val="24"/>
        </w:rPr>
        <w:t>,</w:t>
      </w:r>
      <w:r w:rsidRPr="00016577">
        <w:rPr>
          <w:rFonts w:ascii="Arial" w:hAnsi="Arial" w:cs="Arial"/>
          <w:sz w:val="24"/>
          <w:szCs w:val="24"/>
        </w:rPr>
        <w:t xml:space="preserve"> with regular monitoring meetings</w:t>
      </w:r>
      <w:r w:rsidR="001C0E44" w:rsidRPr="00016577">
        <w:rPr>
          <w:rFonts w:ascii="Arial" w:hAnsi="Arial" w:cs="Arial"/>
          <w:sz w:val="24"/>
          <w:szCs w:val="24"/>
        </w:rPr>
        <w:t xml:space="preserve">. Proposals </w:t>
      </w:r>
      <w:r w:rsidRPr="00016577">
        <w:rPr>
          <w:rFonts w:ascii="Arial" w:hAnsi="Arial" w:cs="Arial"/>
          <w:sz w:val="24"/>
          <w:szCs w:val="24"/>
        </w:rPr>
        <w:t xml:space="preserve">to change the purpose, to redevelop or to sell an asset </w:t>
      </w:r>
      <w:r w:rsidR="001C0E44" w:rsidRPr="00016577">
        <w:rPr>
          <w:rFonts w:ascii="Arial" w:hAnsi="Arial" w:cs="Arial"/>
          <w:sz w:val="24"/>
          <w:szCs w:val="24"/>
        </w:rPr>
        <w:t xml:space="preserve">are reported </w:t>
      </w:r>
      <w:r w:rsidR="00481A90" w:rsidRPr="00016577">
        <w:rPr>
          <w:rFonts w:ascii="Arial" w:hAnsi="Arial" w:cs="Arial"/>
          <w:sz w:val="24"/>
          <w:szCs w:val="24"/>
        </w:rPr>
        <w:t>to Cabinet</w:t>
      </w:r>
      <w:r w:rsidR="001C0E44" w:rsidRPr="00016577">
        <w:rPr>
          <w:rFonts w:ascii="Arial" w:hAnsi="Arial" w:cs="Arial"/>
          <w:sz w:val="24"/>
          <w:szCs w:val="24"/>
        </w:rPr>
        <w:t>.  Surplus assets may be sold to generate proceeds, known as capital receipts, which can be used to finance capital expenditure on new assets or enhancements to existing assets, or to repay debt.  With the approval of Cabinet, surplus assets can also be appropriated between the General Fund and Housing Revenue Account (HRA) to reflect planned changes in use of the land</w:t>
      </w:r>
      <w:r w:rsidR="009F68C8" w:rsidRPr="00016577">
        <w:rPr>
          <w:rFonts w:ascii="Arial" w:hAnsi="Arial" w:cs="Arial"/>
          <w:sz w:val="24"/>
          <w:szCs w:val="24"/>
        </w:rPr>
        <w:t xml:space="preserve"> where notional receipts are transferred between the funds</w:t>
      </w:r>
      <w:r w:rsidR="001C0E44" w:rsidRPr="00016577">
        <w:rPr>
          <w:rFonts w:ascii="Arial" w:hAnsi="Arial" w:cs="Arial"/>
          <w:sz w:val="24"/>
          <w:szCs w:val="24"/>
        </w:rPr>
        <w:t>.</w:t>
      </w:r>
    </w:p>
    <w:p w14:paraId="46AFF4AD" w14:textId="77777777" w:rsidR="002331EE" w:rsidRPr="00022B39" w:rsidRDefault="002331EE" w:rsidP="00EE05DD">
      <w:pPr>
        <w:pStyle w:val="ListParagraph"/>
        <w:spacing w:after="200" w:line="276" w:lineRule="auto"/>
        <w:ind w:left="360"/>
        <w:jc w:val="both"/>
        <w:rPr>
          <w:rFonts w:ascii="Arial" w:hAnsi="Arial" w:cs="Arial"/>
          <w:sz w:val="24"/>
          <w:szCs w:val="24"/>
        </w:rPr>
      </w:pPr>
    </w:p>
    <w:p w14:paraId="57C8E4F6" w14:textId="6C5BDC3E" w:rsidR="001C0E44" w:rsidRPr="00D85345" w:rsidRDefault="001C0E44" w:rsidP="00EE05DD">
      <w:pPr>
        <w:pStyle w:val="ListParagraph"/>
        <w:numPr>
          <w:ilvl w:val="0"/>
          <w:numId w:val="16"/>
        </w:numPr>
        <w:spacing w:before="400" w:after="200" w:line="276" w:lineRule="auto"/>
        <w:jc w:val="both"/>
        <w:rPr>
          <w:rFonts w:ascii="Arial" w:hAnsi="Arial" w:cs="Arial"/>
          <w:sz w:val="24"/>
          <w:szCs w:val="24"/>
        </w:rPr>
      </w:pPr>
      <w:r w:rsidRPr="00D85345">
        <w:rPr>
          <w:rFonts w:ascii="Arial" w:hAnsi="Arial" w:cs="Arial"/>
          <w:sz w:val="24"/>
          <w:szCs w:val="24"/>
        </w:rPr>
        <w:t xml:space="preserve">Right to Buy Council housing sales, repayments of capital grants, loans and investments also generate capital receipts. The Council is currently also permitted to spend capital receipts on service transformation projects until 2021/22.The Council plans to invest </w:t>
      </w:r>
      <w:r w:rsidR="00016577">
        <w:rPr>
          <w:rFonts w:ascii="Arial" w:hAnsi="Arial" w:cs="Arial"/>
          <w:sz w:val="24"/>
          <w:szCs w:val="24"/>
        </w:rPr>
        <w:t>£3.1m</w:t>
      </w:r>
      <w:r w:rsidRPr="00D85345">
        <w:rPr>
          <w:rFonts w:ascii="Arial" w:hAnsi="Arial" w:cs="Arial"/>
          <w:sz w:val="24"/>
          <w:szCs w:val="24"/>
        </w:rPr>
        <w:t xml:space="preserve"> of capital receipts</w:t>
      </w:r>
      <w:r w:rsidR="00016577">
        <w:rPr>
          <w:rFonts w:ascii="Arial" w:hAnsi="Arial" w:cs="Arial"/>
          <w:sz w:val="24"/>
          <w:szCs w:val="24"/>
        </w:rPr>
        <w:t xml:space="preserve"> on transformational projects</w:t>
      </w:r>
      <w:r w:rsidRPr="00D85345">
        <w:rPr>
          <w:rFonts w:ascii="Arial" w:hAnsi="Arial" w:cs="Arial"/>
          <w:sz w:val="24"/>
          <w:szCs w:val="24"/>
        </w:rPr>
        <w:t xml:space="preserve"> in the coming financial year (2019/20)</w:t>
      </w:r>
      <w:r w:rsidR="009B0251">
        <w:rPr>
          <w:rFonts w:ascii="Arial" w:hAnsi="Arial" w:cs="Arial"/>
          <w:sz w:val="24"/>
          <w:szCs w:val="24"/>
        </w:rPr>
        <w:t>.</w:t>
      </w:r>
      <w:r w:rsidRPr="00D85345">
        <w:rPr>
          <w:rFonts w:ascii="Arial" w:hAnsi="Arial" w:cs="Arial"/>
          <w:sz w:val="24"/>
          <w:szCs w:val="24"/>
        </w:rPr>
        <w:t xml:space="preserve">  </w:t>
      </w:r>
    </w:p>
    <w:p w14:paraId="7E18829D" w14:textId="77777777" w:rsidR="005276FF" w:rsidRDefault="00856053" w:rsidP="00EE05DD">
      <w:pPr>
        <w:spacing w:after="200" w:line="276" w:lineRule="auto"/>
        <w:jc w:val="both"/>
        <w:rPr>
          <w:rFonts w:ascii="Arial" w:hAnsi="Arial" w:cs="Arial"/>
          <w:b/>
          <w:sz w:val="24"/>
          <w:szCs w:val="24"/>
        </w:rPr>
      </w:pPr>
      <w:r w:rsidRPr="005276FF">
        <w:rPr>
          <w:rFonts w:ascii="Arial" w:hAnsi="Arial" w:cs="Arial"/>
          <w:b/>
          <w:sz w:val="24"/>
          <w:szCs w:val="24"/>
        </w:rPr>
        <w:lastRenderedPageBreak/>
        <w:t>T</w:t>
      </w:r>
      <w:r w:rsidR="005276FF">
        <w:rPr>
          <w:rFonts w:ascii="Arial" w:hAnsi="Arial" w:cs="Arial"/>
          <w:b/>
          <w:sz w:val="24"/>
          <w:szCs w:val="24"/>
        </w:rPr>
        <w:t xml:space="preserve">reasury Management </w:t>
      </w:r>
    </w:p>
    <w:p w14:paraId="058BB339" w14:textId="719E6AD3" w:rsidR="00C609CA" w:rsidRPr="00022B39" w:rsidRDefault="00C609CA" w:rsidP="00EE05DD">
      <w:pPr>
        <w:pStyle w:val="ListParagraph"/>
        <w:numPr>
          <w:ilvl w:val="0"/>
          <w:numId w:val="16"/>
        </w:numPr>
        <w:spacing w:after="200" w:line="276" w:lineRule="auto"/>
        <w:jc w:val="both"/>
        <w:rPr>
          <w:rFonts w:ascii="Arial" w:hAnsi="Arial" w:cs="Arial"/>
          <w:sz w:val="24"/>
          <w:szCs w:val="24"/>
        </w:rPr>
      </w:pPr>
      <w:r w:rsidRPr="00022B39">
        <w:rPr>
          <w:rFonts w:ascii="Arial" w:hAnsi="Arial" w:cs="Arial"/>
          <w:sz w:val="24"/>
          <w:szCs w:val="24"/>
        </w:rPr>
        <w:t>Treasury management is concerned with keeping sufficient but not excessive cash available to meet the Council’s spending needs</w:t>
      </w:r>
      <w:r w:rsidR="00213A4E" w:rsidRPr="00022B39">
        <w:rPr>
          <w:rFonts w:ascii="Arial" w:hAnsi="Arial" w:cs="Arial"/>
          <w:sz w:val="24"/>
          <w:szCs w:val="24"/>
        </w:rPr>
        <w:t>, while managing the risks involved.</w:t>
      </w:r>
      <w:r w:rsidRPr="00022B39">
        <w:rPr>
          <w:rFonts w:ascii="Arial" w:hAnsi="Arial" w:cs="Arial"/>
          <w:sz w:val="24"/>
          <w:szCs w:val="24"/>
        </w:rPr>
        <w:t xml:space="preserve"> Surplus cash is invested until required, while a shortage of cash will be met </w:t>
      </w:r>
      <w:r w:rsidR="004809E5" w:rsidRPr="00022B39">
        <w:rPr>
          <w:rFonts w:ascii="Arial" w:hAnsi="Arial" w:cs="Arial"/>
          <w:sz w:val="24"/>
          <w:szCs w:val="24"/>
        </w:rPr>
        <w:t xml:space="preserve">by </w:t>
      </w:r>
      <w:r w:rsidRPr="00022B39">
        <w:rPr>
          <w:rFonts w:ascii="Arial" w:hAnsi="Arial" w:cs="Arial"/>
          <w:sz w:val="24"/>
          <w:szCs w:val="24"/>
        </w:rPr>
        <w:t xml:space="preserve">borrowing, to avoid excessive credit balances or overdrafts in the bank current account. The Council is typically cash rich in the short-term as revenue income is received before it is spent, but cash poor in the long-term as capital expenditure is incurred before being financed. The revenue cash surpluses are offset against capital cash shortfalls to reduce </w:t>
      </w:r>
      <w:r w:rsidR="00EB6518" w:rsidRPr="00022B39">
        <w:rPr>
          <w:rFonts w:ascii="Arial" w:hAnsi="Arial" w:cs="Arial"/>
          <w:sz w:val="24"/>
          <w:szCs w:val="24"/>
        </w:rPr>
        <w:t xml:space="preserve">overall </w:t>
      </w:r>
      <w:r w:rsidRPr="00022B39">
        <w:rPr>
          <w:rFonts w:ascii="Arial" w:hAnsi="Arial" w:cs="Arial"/>
          <w:sz w:val="24"/>
          <w:szCs w:val="24"/>
        </w:rPr>
        <w:t xml:space="preserve">borrowing. </w:t>
      </w:r>
    </w:p>
    <w:p w14:paraId="372D5CDF" w14:textId="77777777" w:rsidR="00856053" w:rsidRPr="00856053" w:rsidRDefault="00856053" w:rsidP="00EE05DD">
      <w:pPr>
        <w:pStyle w:val="ListParagraph"/>
        <w:spacing w:before="400" w:after="200" w:line="276" w:lineRule="auto"/>
        <w:ind w:left="420"/>
        <w:jc w:val="both"/>
        <w:rPr>
          <w:rFonts w:ascii="Arial" w:hAnsi="Arial" w:cs="Arial"/>
          <w:sz w:val="24"/>
          <w:szCs w:val="24"/>
        </w:rPr>
      </w:pPr>
    </w:p>
    <w:p w14:paraId="6558266D" w14:textId="1B1D190F" w:rsidR="001D7D95" w:rsidRPr="005276FF" w:rsidRDefault="00CB1D3B" w:rsidP="00EE05DD">
      <w:pPr>
        <w:pStyle w:val="ListParagraph"/>
        <w:numPr>
          <w:ilvl w:val="0"/>
          <w:numId w:val="16"/>
        </w:numPr>
        <w:spacing w:before="400" w:after="200" w:line="276" w:lineRule="auto"/>
        <w:jc w:val="both"/>
        <w:rPr>
          <w:rFonts w:ascii="Arial" w:hAnsi="Arial" w:cs="Arial"/>
          <w:sz w:val="24"/>
          <w:szCs w:val="24"/>
        </w:rPr>
      </w:pPr>
      <w:r w:rsidRPr="005276FF">
        <w:rPr>
          <w:rFonts w:ascii="Arial" w:hAnsi="Arial" w:cs="Arial"/>
          <w:sz w:val="24"/>
          <w:szCs w:val="24"/>
        </w:rPr>
        <w:t>A</w:t>
      </w:r>
      <w:r w:rsidR="00C75064" w:rsidRPr="005276FF">
        <w:rPr>
          <w:rFonts w:ascii="Arial" w:hAnsi="Arial" w:cs="Arial"/>
          <w:sz w:val="24"/>
          <w:szCs w:val="24"/>
        </w:rPr>
        <w:t>s at the 31 March 201</w:t>
      </w:r>
      <w:r w:rsidR="009A4E80" w:rsidRPr="005276FF">
        <w:rPr>
          <w:rFonts w:ascii="Arial" w:hAnsi="Arial" w:cs="Arial"/>
          <w:sz w:val="24"/>
          <w:szCs w:val="24"/>
        </w:rPr>
        <w:t>9</w:t>
      </w:r>
      <w:r w:rsidR="00C75064" w:rsidRPr="005276FF">
        <w:rPr>
          <w:rFonts w:ascii="Arial" w:hAnsi="Arial" w:cs="Arial"/>
          <w:sz w:val="24"/>
          <w:szCs w:val="24"/>
        </w:rPr>
        <w:t xml:space="preserve"> </w:t>
      </w:r>
      <w:r w:rsidR="001D7D95" w:rsidRPr="005276FF">
        <w:rPr>
          <w:rFonts w:ascii="Arial" w:hAnsi="Arial" w:cs="Arial"/>
          <w:sz w:val="24"/>
          <w:szCs w:val="24"/>
        </w:rPr>
        <w:t xml:space="preserve">the </w:t>
      </w:r>
      <w:r w:rsidR="00791A54">
        <w:rPr>
          <w:rFonts w:ascii="Arial" w:hAnsi="Arial" w:cs="Arial"/>
          <w:sz w:val="24"/>
          <w:szCs w:val="24"/>
        </w:rPr>
        <w:t xml:space="preserve">Council’s total </w:t>
      </w:r>
      <w:r w:rsidR="00766650">
        <w:rPr>
          <w:rFonts w:ascii="Arial" w:hAnsi="Arial" w:cs="Arial"/>
          <w:sz w:val="24"/>
          <w:szCs w:val="24"/>
        </w:rPr>
        <w:t>external</w:t>
      </w:r>
      <w:r w:rsidR="009A4E80" w:rsidRPr="005276FF">
        <w:rPr>
          <w:rFonts w:ascii="Arial" w:hAnsi="Arial" w:cs="Arial"/>
          <w:sz w:val="24"/>
          <w:szCs w:val="24"/>
        </w:rPr>
        <w:t xml:space="preserve"> borrowing </w:t>
      </w:r>
      <w:r w:rsidR="00791A54">
        <w:rPr>
          <w:rFonts w:ascii="Arial" w:hAnsi="Arial" w:cs="Arial"/>
          <w:sz w:val="24"/>
          <w:szCs w:val="24"/>
        </w:rPr>
        <w:t>was</w:t>
      </w:r>
      <w:r w:rsidR="009B2CB8" w:rsidRPr="005276FF">
        <w:rPr>
          <w:rFonts w:ascii="Arial" w:hAnsi="Arial" w:cs="Arial"/>
          <w:sz w:val="24"/>
          <w:szCs w:val="24"/>
        </w:rPr>
        <w:t xml:space="preserve"> </w:t>
      </w:r>
      <w:r w:rsidR="001D7D95" w:rsidRPr="005276FF">
        <w:rPr>
          <w:rFonts w:ascii="Arial" w:hAnsi="Arial" w:cs="Arial"/>
          <w:sz w:val="24"/>
          <w:szCs w:val="24"/>
        </w:rPr>
        <w:t>£</w:t>
      </w:r>
      <w:r w:rsidR="00605050">
        <w:rPr>
          <w:rFonts w:ascii="Arial" w:hAnsi="Arial" w:cs="Arial"/>
          <w:sz w:val="24"/>
          <w:szCs w:val="24"/>
        </w:rPr>
        <w:t>34</w:t>
      </w:r>
      <w:r w:rsidR="00921364">
        <w:rPr>
          <w:rFonts w:ascii="Arial" w:hAnsi="Arial" w:cs="Arial"/>
          <w:sz w:val="24"/>
          <w:szCs w:val="24"/>
        </w:rPr>
        <w:t>6</w:t>
      </w:r>
      <w:r w:rsidR="001D7D95" w:rsidRPr="005276FF">
        <w:rPr>
          <w:rFonts w:ascii="Arial" w:hAnsi="Arial" w:cs="Arial"/>
          <w:sz w:val="24"/>
          <w:szCs w:val="24"/>
        </w:rPr>
        <w:t>m</w:t>
      </w:r>
      <w:r w:rsidR="00B76C1E">
        <w:rPr>
          <w:rFonts w:ascii="Arial" w:hAnsi="Arial" w:cs="Arial"/>
          <w:sz w:val="24"/>
          <w:szCs w:val="24"/>
        </w:rPr>
        <w:t xml:space="preserve"> </w:t>
      </w:r>
      <w:r w:rsidR="001D7D95" w:rsidRPr="005276FF">
        <w:rPr>
          <w:rFonts w:ascii="Arial" w:hAnsi="Arial" w:cs="Arial"/>
          <w:sz w:val="24"/>
          <w:szCs w:val="24"/>
        </w:rPr>
        <w:t>and £</w:t>
      </w:r>
      <w:r w:rsidR="00016577">
        <w:rPr>
          <w:rFonts w:ascii="Arial" w:hAnsi="Arial" w:cs="Arial"/>
          <w:sz w:val="24"/>
          <w:szCs w:val="24"/>
        </w:rPr>
        <w:t>26</w:t>
      </w:r>
      <w:r w:rsidR="00B76C1E">
        <w:rPr>
          <w:rFonts w:ascii="Arial" w:hAnsi="Arial" w:cs="Arial"/>
          <w:sz w:val="24"/>
          <w:szCs w:val="24"/>
        </w:rPr>
        <w:t>m</w:t>
      </w:r>
      <w:r w:rsidR="008003A0">
        <w:rPr>
          <w:rFonts w:ascii="Arial" w:hAnsi="Arial" w:cs="Arial"/>
          <w:sz w:val="24"/>
          <w:szCs w:val="24"/>
        </w:rPr>
        <w:t xml:space="preserve"> </w:t>
      </w:r>
      <w:r w:rsidR="00791A54">
        <w:rPr>
          <w:rFonts w:ascii="Arial" w:hAnsi="Arial" w:cs="Arial"/>
          <w:sz w:val="24"/>
          <w:szCs w:val="24"/>
        </w:rPr>
        <w:t>was</w:t>
      </w:r>
      <w:r w:rsidR="008003A0">
        <w:rPr>
          <w:rFonts w:ascii="Arial" w:hAnsi="Arial" w:cs="Arial"/>
          <w:sz w:val="24"/>
          <w:szCs w:val="24"/>
        </w:rPr>
        <w:t xml:space="preserve"> held in short term</w:t>
      </w:r>
      <w:r w:rsidR="001D7D95" w:rsidRPr="005276FF">
        <w:rPr>
          <w:rFonts w:ascii="Arial" w:hAnsi="Arial" w:cs="Arial"/>
          <w:sz w:val="24"/>
          <w:szCs w:val="24"/>
        </w:rPr>
        <w:t xml:space="preserve"> treasury</w:t>
      </w:r>
      <w:r w:rsidR="008003A0">
        <w:rPr>
          <w:rFonts w:ascii="Arial" w:hAnsi="Arial" w:cs="Arial"/>
          <w:sz w:val="24"/>
          <w:szCs w:val="24"/>
        </w:rPr>
        <w:t xml:space="preserve"> ( cash)</w:t>
      </w:r>
      <w:r w:rsidR="001D7D95" w:rsidRPr="005276FF">
        <w:rPr>
          <w:rFonts w:ascii="Arial" w:hAnsi="Arial" w:cs="Arial"/>
          <w:sz w:val="24"/>
          <w:szCs w:val="24"/>
        </w:rPr>
        <w:t xml:space="preserve"> investments</w:t>
      </w:r>
      <w:r w:rsidR="009B0251">
        <w:rPr>
          <w:rFonts w:ascii="Arial" w:hAnsi="Arial" w:cs="Arial"/>
          <w:sz w:val="24"/>
          <w:szCs w:val="24"/>
        </w:rPr>
        <w:t>.</w:t>
      </w:r>
      <w:r w:rsidR="008003A0">
        <w:rPr>
          <w:rFonts w:ascii="Arial" w:hAnsi="Arial" w:cs="Arial"/>
          <w:sz w:val="24"/>
          <w:szCs w:val="24"/>
        </w:rPr>
        <w:t xml:space="preserve"> </w:t>
      </w:r>
    </w:p>
    <w:p w14:paraId="0679625C" w14:textId="77777777" w:rsidR="005276FF" w:rsidRDefault="00213A4E" w:rsidP="00EE05DD">
      <w:pPr>
        <w:spacing w:after="200" w:line="276" w:lineRule="auto"/>
        <w:jc w:val="both"/>
        <w:rPr>
          <w:rFonts w:ascii="Arial" w:hAnsi="Arial" w:cs="Arial"/>
          <w:b/>
          <w:sz w:val="24"/>
          <w:szCs w:val="24"/>
        </w:rPr>
      </w:pPr>
      <w:r w:rsidRPr="00D85345">
        <w:rPr>
          <w:rFonts w:ascii="Arial" w:hAnsi="Arial" w:cs="Arial"/>
          <w:b/>
          <w:sz w:val="24"/>
          <w:szCs w:val="24"/>
        </w:rPr>
        <w:t>Borrowing strategy</w:t>
      </w:r>
    </w:p>
    <w:p w14:paraId="4D5B6AD4" w14:textId="150155AD" w:rsidR="00213A4E" w:rsidRDefault="00213A4E" w:rsidP="00EE05DD">
      <w:pPr>
        <w:pStyle w:val="ListParagraph"/>
        <w:numPr>
          <w:ilvl w:val="0"/>
          <w:numId w:val="16"/>
        </w:numPr>
        <w:spacing w:after="200" w:line="276" w:lineRule="auto"/>
        <w:jc w:val="both"/>
        <w:rPr>
          <w:rFonts w:ascii="Arial" w:hAnsi="Arial" w:cs="Arial"/>
          <w:sz w:val="24"/>
          <w:szCs w:val="24"/>
        </w:rPr>
      </w:pPr>
      <w:r w:rsidRPr="005276FF">
        <w:rPr>
          <w:rFonts w:ascii="Arial" w:hAnsi="Arial" w:cs="Arial"/>
          <w:sz w:val="24"/>
          <w:szCs w:val="24"/>
        </w:rPr>
        <w:t xml:space="preserve">The Council’s main objectives when borrowing are to achieve a low but certain cost of finance while retaining flexibility should plans change in future. These objectives are often </w:t>
      </w:r>
      <w:r w:rsidR="00BF447F" w:rsidRPr="005276FF">
        <w:rPr>
          <w:rFonts w:ascii="Arial" w:hAnsi="Arial" w:cs="Arial"/>
          <w:sz w:val="24"/>
          <w:szCs w:val="24"/>
        </w:rPr>
        <w:t>conflicting,</w:t>
      </w:r>
      <w:r w:rsidRPr="005276FF">
        <w:rPr>
          <w:rFonts w:ascii="Arial" w:hAnsi="Arial" w:cs="Arial"/>
          <w:sz w:val="24"/>
          <w:szCs w:val="24"/>
        </w:rPr>
        <w:t xml:space="preserve"> and the Council therefore seeks to strike a balance </w:t>
      </w:r>
      <w:r w:rsidR="007C204A">
        <w:rPr>
          <w:rFonts w:ascii="Arial" w:hAnsi="Arial" w:cs="Arial"/>
          <w:sz w:val="24"/>
          <w:szCs w:val="24"/>
        </w:rPr>
        <w:t xml:space="preserve">low cost </w:t>
      </w:r>
      <w:r w:rsidRPr="005276FF">
        <w:rPr>
          <w:rFonts w:ascii="Arial" w:hAnsi="Arial" w:cs="Arial"/>
          <w:sz w:val="24"/>
          <w:szCs w:val="24"/>
        </w:rPr>
        <w:t xml:space="preserve">short-term loans (currently available at around </w:t>
      </w:r>
      <w:r w:rsidR="008003A0">
        <w:rPr>
          <w:rFonts w:ascii="Arial" w:hAnsi="Arial" w:cs="Arial"/>
          <w:sz w:val="24"/>
          <w:szCs w:val="24"/>
        </w:rPr>
        <w:t>1</w:t>
      </w:r>
      <w:r w:rsidRPr="005276FF">
        <w:rPr>
          <w:rFonts w:ascii="Arial" w:hAnsi="Arial" w:cs="Arial"/>
          <w:sz w:val="24"/>
          <w:szCs w:val="24"/>
        </w:rPr>
        <w:t>.</w:t>
      </w:r>
      <w:r w:rsidR="008003A0">
        <w:rPr>
          <w:rFonts w:ascii="Arial" w:hAnsi="Arial" w:cs="Arial"/>
          <w:sz w:val="24"/>
          <w:szCs w:val="24"/>
        </w:rPr>
        <w:t>1</w:t>
      </w:r>
      <w:r w:rsidR="006A5EB8">
        <w:rPr>
          <w:rFonts w:ascii="Arial" w:hAnsi="Arial" w:cs="Arial"/>
          <w:sz w:val="24"/>
          <w:szCs w:val="24"/>
        </w:rPr>
        <w:t>0</w:t>
      </w:r>
      <w:r w:rsidRPr="005276FF">
        <w:rPr>
          <w:rFonts w:ascii="Arial" w:hAnsi="Arial" w:cs="Arial"/>
          <w:sz w:val="24"/>
          <w:szCs w:val="24"/>
        </w:rPr>
        <w:t>%) and long-term fixed</w:t>
      </w:r>
      <w:r w:rsidR="007C204A">
        <w:rPr>
          <w:rFonts w:ascii="Arial" w:hAnsi="Arial" w:cs="Arial"/>
          <w:sz w:val="24"/>
          <w:szCs w:val="24"/>
        </w:rPr>
        <w:t>-</w:t>
      </w:r>
      <w:r w:rsidRPr="005276FF">
        <w:rPr>
          <w:rFonts w:ascii="Arial" w:hAnsi="Arial" w:cs="Arial"/>
          <w:sz w:val="24"/>
          <w:szCs w:val="24"/>
        </w:rPr>
        <w:t>rate loans where the future cost is known but higher (currently 2.</w:t>
      </w:r>
      <w:r w:rsidR="008003A0">
        <w:rPr>
          <w:rFonts w:ascii="Arial" w:hAnsi="Arial" w:cs="Arial"/>
          <w:sz w:val="24"/>
          <w:szCs w:val="24"/>
        </w:rPr>
        <w:t>5</w:t>
      </w:r>
      <w:r w:rsidRPr="005276FF">
        <w:rPr>
          <w:rFonts w:ascii="Arial" w:hAnsi="Arial" w:cs="Arial"/>
          <w:sz w:val="24"/>
          <w:szCs w:val="24"/>
        </w:rPr>
        <w:t xml:space="preserve"> to 3.0%).</w:t>
      </w:r>
    </w:p>
    <w:p w14:paraId="5BF503F9" w14:textId="77777777" w:rsidR="00022B39" w:rsidRPr="005276FF" w:rsidRDefault="00022B39" w:rsidP="00EE05DD">
      <w:pPr>
        <w:pStyle w:val="ListParagraph"/>
        <w:spacing w:after="200" w:line="276" w:lineRule="auto"/>
        <w:ind w:left="360"/>
        <w:jc w:val="both"/>
        <w:rPr>
          <w:rFonts w:ascii="Arial" w:hAnsi="Arial" w:cs="Arial"/>
          <w:sz w:val="24"/>
          <w:szCs w:val="24"/>
        </w:rPr>
      </w:pPr>
    </w:p>
    <w:p w14:paraId="18C82290" w14:textId="458E26F0" w:rsidR="00B32AB4" w:rsidRPr="00022B39" w:rsidRDefault="00B32AB4" w:rsidP="00EE05DD">
      <w:pPr>
        <w:pStyle w:val="ListParagraph"/>
        <w:numPr>
          <w:ilvl w:val="0"/>
          <w:numId w:val="16"/>
        </w:numPr>
        <w:spacing w:after="200" w:line="276" w:lineRule="auto"/>
        <w:jc w:val="both"/>
        <w:rPr>
          <w:rFonts w:ascii="Arial" w:hAnsi="Arial" w:cs="Arial"/>
          <w:sz w:val="24"/>
          <w:szCs w:val="24"/>
        </w:rPr>
      </w:pPr>
      <w:r w:rsidRPr="00022B39">
        <w:rPr>
          <w:rFonts w:ascii="Arial" w:hAnsi="Arial" w:cs="Arial"/>
          <w:sz w:val="24"/>
          <w:szCs w:val="24"/>
        </w:rPr>
        <w:t xml:space="preserve">Projected levels of the Council’s total </w:t>
      </w:r>
      <w:r w:rsidR="00550625">
        <w:rPr>
          <w:rFonts w:ascii="Arial" w:hAnsi="Arial" w:cs="Arial"/>
          <w:sz w:val="24"/>
          <w:szCs w:val="24"/>
        </w:rPr>
        <w:t xml:space="preserve">current </w:t>
      </w:r>
      <w:r w:rsidRPr="00022B39">
        <w:rPr>
          <w:rFonts w:ascii="Arial" w:hAnsi="Arial" w:cs="Arial"/>
          <w:sz w:val="24"/>
          <w:szCs w:val="24"/>
        </w:rPr>
        <w:t xml:space="preserve">outstanding debt (which </w:t>
      </w:r>
      <w:r w:rsidR="00653A49" w:rsidRPr="00022B39">
        <w:rPr>
          <w:rFonts w:ascii="Arial" w:hAnsi="Arial" w:cs="Arial"/>
          <w:sz w:val="24"/>
          <w:szCs w:val="24"/>
        </w:rPr>
        <w:t>comprises borrowing,</w:t>
      </w:r>
      <w:r w:rsidRPr="00022B39">
        <w:rPr>
          <w:rFonts w:ascii="Arial" w:hAnsi="Arial" w:cs="Arial"/>
          <w:sz w:val="24"/>
          <w:szCs w:val="24"/>
        </w:rPr>
        <w:t xml:space="preserve"> PFI liabilities, leases</w:t>
      </w:r>
      <w:r w:rsidR="00A07FC1">
        <w:rPr>
          <w:rFonts w:ascii="Arial" w:hAnsi="Arial" w:cs="Arial"/>
          <w:sz w:val="24"/>
          <w:szCs w:val="24"/>
        </w:rPr>
        <w:t>)</w:t>
      </w:r>
      <w:r w:rsidRPr="00022B39">
        <w:rPr>
          <w:rFonts w:ascii="Arial" w:hAnsi="Arial" w:cs="Arial"/>
          <w:sz w:val="24"/>
          <w:szCs w:val="24"/>
        </w:rPr>
        <w:t xml:space="preserve"> are shown below</w:t>
      </w:r>
      <w:r w:rsidR="00030E58" w:rsidRPr="00022B39">
        <w:rPr>
          <w:rFonts w:ascii="Arial" w:hAnsi="Arial" w:cs="Arial"/>
          <w:sz w:val="24"/>
          <w:szCs w:val="24"/>
        </w:rPr>
        <w:t xml:space="preserve">, </w:t>
      </w:r>
      <w:r w:rsidRPr="00022B39">
        <w:rPr>
          <w:rFonts w:ascii="Arial" w:hAnsi="Arial" w:cs="Arial"/>
          <w:sz w:val="24"/>
          <w:szCs w:val="24"/>
        </w:rPr>
        <w:t>compared with the</w:t>
      </w:r>
      <w:r w:rsidR="00550625">
        <w:rPr>
          <w:rFonts w:ascii="Arial" w:hAnsi="Arial" w:cs="Arial"/>
          <w:sz w:val="24"/>
          <w:szCs w:val="24"/>
        </w:rPr>
        <w:t xml:space="preserve"> projected</w:t>
      </w:r>
      <w:r w:rsidRPr="00022B39">
        <w:rPr>
          <w:rFonts w:ascii="Arial" w:hAnsi="Arial" w:cs="Arial"/>
          <w:sz w:val="24"/>
          <w:szCs w:val="24"/>
        </w:rPr>
        <w:t xml:space="preserve"> capital financing requirement (see</w:t>
      </w:r>
      <w:r w:rsidR="00A07FC1">
        <w:rPr>
          <w:rFonts w:ascii="Arial" w:hAnsi="Arial" w:cs="Arial"/>
          <w:sz w:val="24"/>
          <w:szCs w:val="24"/>
        </w:rPr>
        <w:t xml:space="preserve"> details</w:t>
      </w:r>
      <w:r w:rsidRPr="00022B39">
        <w:rPr>
          <w:rFonts w:ascii="Arial" w:hAnsi="Arial" w:cs="Arial"/>
          <w:sz w:val="24"/>
          <w:szCs w:val="24"/>
        </w:rPr>
        <w:t xml:space="preserve"> above)</w:t>
      </w:r>
      <w:r w:rsidR="00030E58" w:rsidRPr="00022B39">
        <w:rPr>
          <w:rFonts w:ascii="Arial" w:hAnsi="Arial" w:cs="Arial"/>
          <w:sz w:val="24"/>
          <w:szCs w:val="24"/>
        </w:rPr>
        <w:t>.</w:t>
      </w:r>
    </w:p>
    <w:p w14:paraId="18F8DB77" w14:textId="77777777" w:rsidR="008003A0" w:rsidRDefault="008003A0" w:rsidP="00EE05DD">
      <w:pPr>
        <w:spacing w:after="200" w:line="276" w:lineRule="auto"/>
        <w:ind w:left="360"/>
        <w:contextualSpacing/>
        <w:jc w:val="both"/>
        <w:rPr>
          <w:rFonts w:ascii="Arial" w:hAnsi="Arial" w:cs="Arial"/>
          <w:sz w:val="24"/>
          <w:szCs w:val="24"/>
        </w:rPr>
      </w:pPr>
    </w:p>
    <w:p w14:paraId="2DFA3C57" w14:textId="4B5CD0FA" w:rsidR="00B32AB4" w:rsidRPr="00844411" w:rsidRDefault="00B32AB4" w:rsidP="00EE05DD">
      <w:pPr>
        <w:spacing w:after="200" w:line="276" w:lineRule="auto"/>
        <w:ind w:left="360"/>
        <w:contextualSpacing/>
        <w:jc w:val="both"/>
        <w:rPr>
          <w:rFonts w:ascii="Arial" w:hAnsi="Arial" w:cs="Arial"/>
          <w:b/>
          <w:sz w:val="24"/>
          <w:szCs w:val="24"/>
          <w:u w:val="single"/>
        </w:rPr>
      </w:pPr>
      <w:r w:rsidRPr="00844411">
        <w:rPr>
          <w:rFonts w:ascii="Arial" w:hAnsi="Arial" w:cs="Arial"/>
          <w:b/>
          <w:sz w:val="24"/>
          <w:szCs w:val="24"/>
          <w:u w:val="single"/>
        </w:rPr>
        <w:t xml:space="preserve">Table </w:t>
      </w:r>
      <w:r w:rsidR="00EE05DD">
        <w:rPr>
          <w:rFonts w:ascii="Arial" w:hAnsi="Arial" w:cs="Arial"/>
          <w:b/>
          <w:sz w:val="24"/>
          <w:szCs w:val="24"/>
          <w:u w:val="single"/>
        </w:rPr>
        <w:t>4</w:t>
      </w:r>
      <w:r w:rsidRPr="00844411">
        <w:rPr>
          <w:rFonts w:ascii="Arial" w:hAnsi="Arial" w:cs="Arial"/>
          <w:b/>
          <w:sz w:val="24"/>
          <w:szCs w:val="24"/>
          <w:u w:val="single"/>
        </w:rPr>
        <w:t xml:space="preserve">: Prudential Indicator: Gross Debt </w:t>
      </w:r>
      <w:r w:rsidR="00844411">
        <w:rPr>
          <w:rFonts w:ascii="Arial" w:hAnsi="Arial" w:cs="Arial"/>
          <w:b/>
          <w:sz w:val="24"/>
          <w:szCs w:val="24"/>
          <w:u w:val="single"/>
        </w:rPr>
        <w:t>&amp;</w:t>
      </w:r>
      <w:r w:rsidR="00473882" w:rsidRPr="00844411">
        <w:rPr>
          <w:rFonts w:ascii="Arial" w:hAnsi="Arial" w:cs="Arial"/>
          <w:b/>
          <w:sz w:val="24"/>
          <w:szCs w:val="24"/>
          <w:u w:val="single"/>
        </w:rPr>
        <w:t xml:space="preserve"> </w:t>
      </w:r>
      <w:r w:rsidRPr="00844411">
        <w:rPr>
          <w:rFonts w:ascii="Arial" w:hAnsi="Arial" w:cs="Arial"/>
          <w:b/>
          <w:sz w:val="24"/>
          <w:szCs w:val="24"/>
          <w:u w:val="single"/>
        </w:rPr>
        <w:t>Capital Financing Requirement</w:t>
      </w:r>
    </w:p>
    <w:tbl>
      <w:tblPr>
        <w:tblStyle w:val="TableGrid"/>
        <w:tblW w:w="6662" w:type="dxa"/>
        <w:tblInd w:w="959" w:type="dxa"/>
        <w:tblLayout w:type="fixed"/>
        <w:tblLook w:val="04A0" w:firstRow="1" w:lastRow="0" w:firstColumn="1" w:lastColumn="0" w:noHBand="0" w:noVBand="1"/>
      </w:tblPr>
      <w:tblGrid>
        <w:gridCol w:w="1559"/>
        <w:gridCol w:w="1105"/>
        <w:gridCol w:w="1333"/>
        <w:gridCol w:w="1332"/>
        <w:gridCol w:w="1333"/>
      </w:tblGrid>
      <w:tr w:rsidR="00EE05DD" w:rsidRPr="00550625" w14:paraId="3EED2B33" w14:textId="77777777" w:rsidTr="001F0D3D">
        <w:tc>
          <w:tcPr>
            <w:tcW w:w="1559" w:type="dxa"/>
            <w:shd w:val="clear" w:color="auto" w:fill="BFBFBF" w:themeFill="background1" w:themeFillShade="BF"/>
          </w:tcPr>
          <w:p w14:paraId="1423419A" w14:textId="77777777" w:rsidR="00EE05DD" w:rsidRPr="00550625" w:rsidRDefault="00EE05DD" w:rsidP="00EE05DD">
            <w:pPr>
              <w:spacing w:before="60" w:after="60" w:line="276" w:lineRule="auto"/>
              <w:jc w:val="both"/>
              <w:rPr>
                <w:rFonts w:ascii="Arial" w:hAnsi="Arial" w:cs="Arial"/>
              </w:rPr>
            </w:pPr>
          </w:p>
        </w:tc>
        <w:tc>
          <w:tcPr>
            <w:tcW w:w="1105" w:type="dxa"/>
            <w:shd w:val="clear" w:color="auto" w:fill="BFBFBF" w:themeFill="background1" w:themeFillShade="BF"/>
          </w:tcPr>
          <w:p w14:paraId="4B6AA68E" w14:textId="77777777" w:rsidR="00EE05DD" w:rsidRDefault="00EE05DD" w:rsidP="00EE05DD">
            <w:pPr>
              <w:spacing w:before="60" w:after="60" w:line="276" w:lineRule="auto"/>
              <w:jc w:val="both"/>
              <w:rPr>
                <w:rFonts w:ascii="Arial" w:hAnsi="Arial" w:cs="Arial"/>
                <w:b/>
              </w:rPr>
            </w:pPr>
            <w:r w:rsidRPr="00550625">
              <w:rPr>
                <w:rFonts w:ascii="Arial" w:hAnsi="Arial" w:cs="Arial"/>
                <w:b/>
              </w:rPr>
              <w:t>31.3.2018 actual</w:t>
            </w:r>
          </w:p>
          <w:p w14:paraId="27986DDD" w14:textId="55848082" w:rsidR="00EE05DD" w:rsidRPr="00550625" w:rsidRDefault="00EE05DD" w:rsidP="00EE05DD">
            <w:pPr>
              <w:spacing w:before="60" w:after="60" w:line="276" w:lineRule="auto"/>
              <w:jc w:val="both"/>
              <w:rPr>
                <w:rFonts w:ascii="Arial" w:hAnsi="Arial" w:cs="Arial"/>
                <w:b/>
              </w:rPr>
            </w:pPr>
            <w:r>
              <w:rPr>
                <w:rFonts w:ascii="Arial" w:hAnsi="Arial" w:cs="Arial"/>
                <w:b/>
              </w:rPr>
              <w:t>£m</w:t>
            </w:r>
          </w:p>
        </w:tc>
        <w:tc>
          <w:tcPr>
            <w:tcW w:w="1333" w:type="dxa"/>
            <w:shd w:val="clear" w:color="auto" w:fill="BFBFBF" w:themeFill="background1" w:themeFillShade="BF"/>
          </w:tcPr>
          <w:p w14:paraId="3B1CD187" w14:textId="77777777" w:rsidR="00EE05DD" w:rsidRDefault="00EE05DD" w:rsidP="00EE05DD">
            <w:pPr>
              <w:spacing w:before="60" w:after="60" w:line="276" w:lineRule="auto"/>
              <w:jc w:val="both"/>
              <w:rPr>
                <w:rFonts w:ascii="Arial" w:hAnsi="Arial" w:cs="Arial"/>
                <w:b/>
              </w:rPr>
            </w:pPr>
            <w:r w:rsidRPr="00550625">
              <w:rPr>
                <w:rFonts w:ascii="Arial" w:hAnsi="Arial" w:cs="Arial"/>
                <w:b/>
              </w:rPr>
              <w:t>31.3.2019 forecast</w:t>
            </w:r>
          </w:p>
          <w:p w14:paraId="1DBB849D" w14:textId="5B9EFEF5" w:rsidR="00EE05DD" w:rsidRPr="00550625" w:rsidRDefault="00EE05DD" w:rsidP="00EE05DD">
            <w:pPr>
              <w:spacing w:before="60" w:after="60" w:line="276" w:lineRule="auto"/>
              <w:jc w:val="both"/>
              <w:rPr>
                <w:rFonts w:ascii="Arial" w:hAnsi="Arial" w:cs="Arial"/>
                <w:b/>
              </w:rPr>
            </w:pPr>
            <w:r>
              <w:rPr>
                <w:rFonts w:ascii="Arial" w:hAnsi="Arial" w:cs="Arial"/>
                <w:b/>
              </w:rPr>
              <w:t>£m</w:t>
            </w:r>
          </w:p>
        </w:tc>
        <w:tc>
          <w:tcPr>
            <w:tcW w:w="1332" w:type="dxa"/>
            <w:shd w:val="clear" w:color="auto" w:fill="BFBFBF" w:themeFill="background1" w:themeFillShade="BF"/>
          </w:tcPr>
          <w:p w14:paraId="2EF4BF96" w14:textId="77777777" w:rsidR="00EE05DD" w:rsidRDefault="00EE05DD" w:rsidP="00EE05DD">
            <w:pPr>
              <w:spacing w:before="60" w:after="60" w:line="276" w:lineRule="auto"/>
              <w:jc w:val="both"/>
              <w:rPr>
                <w:rFonts w:ascii="Arial" w:hAnsi="Arial" w:cs="Arial"/>
                <w:b/>
              </w:rPr>
            </w:pPr>
            <w:r w:rsidRPr="00550625">
              <w:rPr>
                <w:rFonts w:ascii="Arial" w:hAnsi="Arial" w:cs="Arial"/>
                <w:b/>
              </w:rPr>
              <w:t>31.3.2020 budget</w:t>
            </w:r>
          </w:p>
          <w:p w14:paraId="3DDB3FE5" w14:textId="7E669D41" w:rsidR="00EE05DD" w:rsidRPr="00550625" w:rsidRDefault="00EE05DD" w:rsidP="00EE05DD">
            <w:pPr>
              <w:spacing w:before="60" w:after="60" w:line="276" w:lineRule="auto"/>
              <w:jc w:val="both"/>
              <w:rPr>
                <w:rFonts w:ascii="Arial" w:hAnsi="Arial" w:cs="Arial"/>
                <w:b/>
              </w:rPr>
            </w:pPr>
            <w:r>
              <w:rPr>
                <w:rFonts w:ascii="Arial" w:hAnsi="Arial" w:cs="Arial"/>
                <w:b/>
              </w:rPr>
              <w:t>£m</w:t>
            </w:r>
          </w:p>
        </w:tc>
        <w:tc>
          <w:tcPr>
            <w:tcW w:w="1333" w:type="dxa"/>
            <w:shd w:val="clear" w:color="auto" w:fill="BFBFBF" w:themeFill="background1" w:themeFillShade="BF"/>
          </w:tcPr>
          <w:p w14:paraId="73874DCF" w14:textId="77777777" w:rsidR="00EE05DD" w:rsidRDefault="00EE05DD" w:rsidP="00EE05DD">
            <w:pPr>
              <w:spacing w:before="60" w:after="60" w:line="276" w:lineRule="auto"/>
              <w:jc w:val="both"/>
              <w:rPr>
                <w:rFonts w:ascii="Arial" w:hAnsi="Arial" w:cs="Arial"/>
                <w:b/>
              </w:rPr>
            </w:pPr>
            <w:r w:rsidRPr="00550625">
              <w:rPr>
                <w:rFonts w:ascii="Arial" w:hAnsi="Arial" w:cs="Arial"/>
                <w:b/>
              </w:rPr>
              <w:t>31.3.2021 budget</w:t>
            </w:r>
          </w:p>
          <w:p w14:paraId="75740705" w14:textId="28C0F171" w:rsidR="00EE05DD" w:rsidRPr="00550625" w:rsidRDefault="00EE05DD" w:rsidP="00EE05DD">
            <w:pPr>
              <w:spacing w:before="60" w:after="60" w:line="276" w:lineRule="auto"/>
              <w:jc w:val="both"/>
              <w:rPr>
                <w:rFonts w:ascii="Arial" w:hAnsi="Arial" w:cs="Arial"/>
                <w:b/>
              </w:rPr>
            </w:pPr>
            <w:r>
              <w:rPr>
                <w:rFonts w:ascii="Arial" w:hAnsi="Arial" w:cs="Arial"/>
                <w:b/>
              </w:rPr>
              <w:t>£m</w:t>
            </w:r>
          </w:p>
        </w:tc>
      </w:tr>
      <w:tr w:rsidR="00EE05DD" w:rsidRPr="00550625" w14:paraId="120060FF" w14:textId="77777777" w:rsidTr="001F0D3D">
        <w:tc>
          <w:tcPr>
            <w:tcW w:w="1559" w:type="dxa"/>
          </w:tcPr>
          <w:p w14:paraId="2B9F2A41" w14:textId="37E05449" w:rsidR="00EE05DD" w:rsidRPr="00550625" w:rsidRDefault="00EE05DD" w:rsidP="00EE05DD">
            <w:pPr>
              <w:spacing w:before="60" w:after="60" w:line="276" w:lineRule="auto"/>
              <w:jc w:val="both"/>
              <w:rPr>
                <w:rFonts w:ascii="Arial" w:hAnsi="Arial" w:cs="Arial"/>
              </w:rPr>
            </w:pPr>
            <w:r w:rsidRPr="00550625">
              <w:rPr>
                <w:rFonts w:ascii="Arial" w:hAnsi="Arial" w:cs="Arial"/>
              </w:rPr>
              <w:t>Debt (incl. PFI &amp; leases)</w:t>
            </w:r>
          </w:p>
        </w:tc>
        <w:tc>
          <w:tcPr>
            <w:tcW w:w="1105" w:type="dxa"/>
          </w:tcPr>
          <w:p w14:paraId="1424DA94" w14:textId="10D466EF" w:rsidR="00EE05DD" w:rsidRPr="00151F72" w:rsidRDefault="00EE05DD" w:rsidP="00EE05DD">
            <w:pPr>
              <w:spacing w:before="60" w:after="60" w:line="276" w:lineRule="auto"/>
              <w:jc w:val="both"/>
              <w:rPr>
                <w:rFonts w:ascii="Arial" w:hAnsi="Arial" w:cs="Arial"/>
              </w:rPr>
            </w:pPr>
            <w:r w:rsidRPr="00151F72">
              <w:rPr>
                <w:rFonts w:ascii="Arial" w:hAnsi="Arial" w:cs="Arial"/>
              </w:rPr>
              <w:t>341,061</w:t>
            </w:r>
          </w:p>
        </w:tc>
        <w:tc>
          <w:tcPr>
            <w:tcW w:w="1333" w:type="dxa"/>
          </w:tcPr>
          <w:p w14:paraId="21A7F54F" w14:textId="571EB7AF" w:rsidR="00EE05DD" w:rsidRPr="00EE05DD" w:rsidRDefault="00EE05DD" w:rsidP="00EE05DD">
            <w:pPr>
              <w:spacing w:before="60" w:after="60" w:line="276" w:lineRule="auto"/>
              <w:jc w:val="both"/>
              <w:rPr>
                <w:rFonts w:ascii="Arial" w:hAnsi="Arial" w:cs="Arial"/>
              </w:rPr>
            </w:pPr>
            <w:r w:rsidRPr="00EE05DD">
              <w:rPr>
                <w:rFonts w:ascii="Arial" w:hAnsi="Arial" w:cs="Arial"/>
              </w:rPr>
              <w:t>360,860</w:t>
            </w:r>
          </w:p>
          <w:p w14:paraId="64E226DF" w14:textId="50798A4B" w:rsidR="00EE05DD" w:rsidRPr="00151F72" w:rsidRDefault="00EE05DD" w:rsidP="00EE05DD">
            <w:pPr>
              <w:spacing w:before="60" w:after="60" w:line="276" w:lineRule="auto"/>
              <w:jc w:val="both"/>
              <w:rPr>
                <w:rFonts w:ascii="Arial" w:hAnsi="Arial" w:cs="Arial"/>
                <w:highlight w:val="cyan"/>
              </w:rPr>
            </w:pPr>
          </w:p>
        </w:tc>
        <w:tc>
          <w:tcPr>
            <w:tcW w:w="1332" w:type="dxa"/>
            <w:shd w:val="clear" w:color="auto" w:fill="E7E6E6" w:themeFill="background2"/>
          </w:tcPr>
          <w:p w14:paraId="52FA2150" w14:textId="531D34F2" w:rsidR="00EE05DD" w:rsidRPr="00151F72" w:rsidRDefault="00EE05DD" w:rsidP="00EE05DD">
            <w:pPr>
              <w:spacing w:before="60" w:after="60" w:line="276" w:lineRule="auto"/>
              <w:jc w:val="both"/>
              <w:rPr>
                <w:rFonts w:ascii="Arial" w:hAnsi="Arial" w:cs="Arial"/>
                <w:highlight w:val="cyan"/>
              </w:rPr>
            </w:pPr>
            <w:r w:rsidRPr="00151F72">
              <w:rPr>
                <w:rFonts w:ascii="Arial" w:hAnsi="Arial" w:cs="Arial"/>
              </w:rPr>
              <w:t>550,252</w:t>
            </w:r>
          </w:p>
        </w:tc>
        <w:tc>
          <w:tcPr>
            <w:tcW w:w="1333" w:type="dxa"/>
          </w:tcPr>
          <w:p w14:paraId="78C96CD6" w14:textId="66F3F481" w:rsidR="00EE05DD" w:rsidRPr="00151F72" w:rsidRDefault="00EE05DD" w:rsidP="00EE05DD">
            <w:pPr>
              <w:spacing w:before="60" w:after="60" w:line="276" w:lineRule="auto"/>
              <w:jc w:val="both"/>
              <w:rPr>
                <w:rFonts w:ascii="Arial" w:hAnsi="Arial" w:cs="Arial"/>
                <w:highlight w:val="cyan"/>
              </w:rPr>
            </w:pPr>
            <w:r w:rsidRPr="00151F72">
              <w:rPr>
                <w:rFonts w:ascii="Arial" w:hAnsi="Arial" w:cs="Arial"/>
              </w:rPr>
              <w:t>600,329</w:t>
            </w:r>
          </w:p>
        </w:tc>
      </w:tr>
      <w:tr w:rsidR="00EE05DD" w:rsidRPr="00D85345" w14:paraId="5A400E82" w14:textId="77777777" w:rsidTr="001F0D3D">
        <w:tc>
          <w:tcPr>
            <w:tcW w:w="1559" w:type="dxa"/>
          </w:tcPr>
          <w:p w14:paraId="3395C6E4" w14:textId="431B5B69" w:rsidR="00EE05DD" w:rsidRPr="00550625" w:rsidRDefault="00EE05DD" w:rsidP="00EE05DD">
            <w:pPr>
              <w:spacing w:before="60" w:after="60" w:line="276" w:lineRule="auto"/>
              <w:jc w:val="both"/>
              <w:rPr>
                <w:rFonts w:ascii="Arial" w:hAnsi="Arial" w:cs="Arial"/>
              </w:rPr>
            </w:pPr>
            <w:r w:rsidRPr="00550625">
              <w:rPr>
                <w:rFonts w:ascii="Arial" w:hAnsi="Arial" w:cs="Arial"/>
              </w:rPr>
              <w:t>Capital Financing Requirement</w:t>
            </w:r>
          </w:p>
        </w:tc>
        <w:tc>
          <w:tcPr>
            <w:tcW w:w="1105" w:type="dxa"/>
          </w:tcPr>
          <w:p w14:paraId="13FBF1C5" w14:textId="3A74C864" w:rsidR="00EE05DD" w:rsidRPr="00151F72" w:rsidRDefault="00EE05DD" w:rsidP="00EE05DD">
            <w:pPr>
              <w:spacing w:before="60" w:after="60" w:line="276" w:lineRule="auto"/>
              <w:jc w:val="both"/>
              <w:rPr>
                <w:rFonts w:ascii="Arial" w:hAnsi="Arial" w:cs="Arial"/>
              </w:rPr>
            </w:pPr>
            <w:r w:rsidRPr="00151F72">
              <w:rPr>
                <w:rFonts w:ascii="Arial" w:hAnsi="Arial" w:cs="Arial"/>
              </w:rPr>
              <w:t>494,224</w:t>
            </w:r>
          </w:p>
        </w:tc>
        <w:tc>
          <w:tcPr>
            <w:tcW w:w="1333" w:type="dxa"/>
          </w:tcPr>
          <w:p w14:paraId="4376DD58" w14:textId="6833ACFC" w:rsidR="00EE05DD" w:rsidRPr="00151F72" w:rsidRDefault="00EE05DD" w:rsidP="00EE05DD">
            <w:pPr>
              <w:spacing w:before="60" w:after="60" w:line="276" w:lineRule="auto"/>
              <w:jc w:val="both"/>
              <w:rPr>
                <w:rFonts w:ascii="Arial" w:hAnsi="Arial" w:cs="Arial"/>
                <w:highlight w:val="cyan"/>
              </w:rPr>
            </w:pPr>
            <w:r w:rsidRPr="00151F72">
              <w:rPr>
                <w:rFonts w:ascii="Arial" w:hAnsi="Arial" w:cs="Arial"/>
              </w:rPr>
              <w:t>593,313</w:t>
            </w:r>
          </w:p>
        </w:tc>
        <w:tc>
          <w:tcPr>
            <w:tcW w:w="1332" w:type="dxa"/>
            <w:shd w:val="clear" w:color="auto" w:fill="E7E6E6" w:themeFill="background2"/>
          </w:tcPr>
          <w:p w14:paraId="42165D73" w14:textId="2094493F" w:rsidR="00EE05DD" w:rsidRPr="00151F72" w:rsidRDefault="00EE05DD" w:rsidP="00924778">
            <w:pPr>
              <w:spacing w:before="60" w:after="60" w:line="276" w:lineRule="auto"/>
              <w:jc w:val="both"/>
              <w:rPr>
                <w:rFonts w:ascii="Arial" w:hAnsi="Arial" w:cs="Arial"/>
                <w:highlight w:val="cyan"/>
              </w:rPr>
            </w:pPr>
            <w:r w:rsidRPr="00151F72">
              <w:rPr>
                <w:rFonts w:ascii="Arial" w:hAnsi="Arial" w:cs="Arial"/>
              </w:rPr>
              <w:t>667,31</w:t>
            </w:r>
            <w:r w:rsidR="00924778">
              <w:rPr>
                <w:rFonts w:ascii="Arial" w:hAnsi="Arial" w:cs="Arial"/>
              </w:rPr>
              <w:t>1</w:t>
            </w:r>
          </w:p>
        </w:tc>
        <w:tc>
          <w:tcPr>
            <w:tcW w:w="1333" w:type="dxa"/>
          </w:tcPr>
          <w:p w14:paraId="3711059A" w14:textId="4093C92C" w:rsidR="00EE05DD" w:rsidRPr="00151F72" w:rsidRDefault="00EE05DD" w:rsidP="00924778">
            <w:pPr>
              <w:spacing w:before="60" w:after="60" w:line="276" w:lineRule="auto"/>
              <w:jc w:val="both"/>
              <w:rPr>
                <w:rFonts w:ascii="Arial" w:hAnsi="Arial" w:cs="Arial"/>
                <w:highlight w:val="cyan"/>
              </w:rPr>
            </w:pPr>
            <w:r w:rsidRPr="00151F72">
              <w:rPr>
                <w:rFonts w:ascii="Arial" w:hAnsi="Arial" w:cs="Arial"/>
              </w:rPr>
              <w:t>696,4</w:t>
            </w:r>
            <w:r w:rsidR="00924778">
              <w:rPr>
                <w:rFonts w:ascii="Arial" w:hAnsi="Arial" w:cs="Arial"/>
              </w:rPr>
              <w:t>30</w:t>
            </w:r>
            <w:bookmarkStart w:id="0" w:name="_GoBack"/>
            <w:bookmarkEnd w:id="0"/>
          </w:p>
        </w:tc>
      </w:tr>
    </w:tbl>
    <w:p w14:paraId="01B70558" w14:textId="77777777" w:rsidR="00473882" w:rsidRPr="00D85345" w:rsidRDefault="00473882" w:rsidP="00EE05DD">
      <w:pPr>
        <w:spacing w:after="0" w:line="276" w:lineRule="auto"/>
        <w:jc w:val="both"/>
        <w:rPr>
          <w:rFonts w:ascii="Arial" w:hAnsi="Arial" w:cs="Arial"/>
          <w:sz w:val="24"/>
          <w:szCs w:val="24"/>
        </w:rPr>
      </w:pPr>
    </w:p>
    <w:p w14:paraId="5F9D6767" w14:textId="1308EA16" w:rsidR="00B32AB4" w:rsidRPr="00FC24ED" w:rsidRDefault="00B32AB4" w:rsidP="00EE05DD">
      <w:pPr>
        <w:pStyle w:val="ListParagraph"/>
        <w:numPr>
          <w:ilvl w:val="0"/>
          <w:numId w:val="16"/>
        </w:numPr>
        <w:spacing w:after="200" w:line="276" w:lineRule="auto"/>
        <w:jc w:val="both"/>
        <w:rPr>
          <w:rFonts w:ascii="Arial" w:hAnsi="Arial" w:cs="Arial"/>
          <w:sz w:val="24"/>
          <w:szCs w:val="24"/>
        </w:rPr>
      </w:pPr>
      <w:r w:rsidRPr="00FC24ED">
        <w:rPr>
          <w:rFonts w:ascii="Arial" w:hAnsi="Arial" w:cs="Arial"/>
          <w:sz w:val="24"/>
          <w:szCs w:val="24"/>
        </w:rPr>
        <w:t xml:space="preserve">Statutory </w:t>
      </w:r>
      <w:r w:rsidRPr="00D04F66">
        <w:rPr>
          <w:rFonts w:ascii="Arial" w:hAnsi="Arial" w:cs="Arial"/>
          <w:sz w:val="24"/>
          <w:szCs w:val="24"/>
        </w:rPr>
        <w:t xml:space="preserve">guidance </w:t>
      </w:r>
      <w:r w:rsidR="00AD21E1">
        <w:rPr>
          <w:rFonts w:ascii="Arial" w:hAnsi="Arial" w:cs="Arial"/>
          <w:sz w:val="24"/>
          <w:szCs w:val="24"/>
        </w:rPr>
        <w:t>requires</w:t>
      </w:r>
      <w:r w:rsidRPr="00D04F66">
        <w:rPr>
          <w:rFonts w:ascii="Arial" w:hAnsi="Arial" w:cs="Arial"/>
          <w:sz w:val="24"/>
          <w:szCs w:val="24"/>
        </w:rPr>
        <w:t xml:space="preserve"> that debt should remain below the capital financing requirement, except in the short-term. As can be seen from table </w:t>
      </w:r>
      <w:r w:rsidR="009B0251">
        <w:rPr>
          <w:rFonts w:ascii="Arial" w:hAnsi="Arial" w:cs="Arial"/>
          <w:sz w:val="24"/>
          <w:szCs w:val="24"/>
        </w:rPr>
        <w:t>4</w:t>
      </w:r>
      <w:r w:rsidR="008003A0">
        <w:rPr>
          <w:rFonts w:ascii="Arial" w:hAnsi="Arial" w:cs="Arial"/>
          <w:sz w:val="24"/>
          <w:szCs w:val="24"/>
        </w:rPr>
        <w:t xml:space="preserve"> above</w:t>
      </w:r>
      <w:r w:rsidRPr="00D04F66">
        <w:rPr>
          <w:rFonts w:ascii="Arial" w:hAnsi="Arial" w:cs="Arial"/>
          <w:sz w:val="24"/>
          <w:szCs w:val="24"/>
        </w:rPr>
        <w:t xml:space="preserve">, </w:t>
      </w:r>
      <w:r w:rsidR="00550625" w:rsidRPr="00D04F66">
        <w:rPr>
          <w:rFonts w:ascii="Arial" w:hAnsi="Arial" w:cs="Arial"/>
          <w:sz w:val="24"/>
          <w:szCs w:val="24"/>
        </w:rPr>
        <w:t xml:space="preserve">with the existing levels of debt </w:t>
      </w:r>
      <w:r w:rsidRPr="00D04F66">
        <w:rPr>
          <w:rFonts w:ascii="Arial" w:hAnsi="Arial" w:cs="Arial"/>
          <w:sz w:val="24"/>
          <w:szCs w:val="24"/>
        </w:rPr>
        <w:t>the Council expects to comply with this in the medium term</w:t>
      </w:r>
      <w:r w:rsidR="007D378A" w:rsidRPr="00D04F66">
        <w:rPr>
          <w:rFonts w:ascii="Arial" w:hAnsi="Arial" w:cs="Arial"/>
          <w:sz w:val="24"/>
          <w:szCs w:val="24"/>
        </w:rPr>
        <w:t>.</w:t>
      </w:r>
      <w:r w:rsidR="007D378A">
        <w:rPr>
          <w:rFonts w:ascii="Arial" w:hAnsi="Arial" w:cs="Arial"/>
          <w:sz w:val="24"/>
          <w:szCs w:val="24"/>
        </w:rPr>
        <w:t>..</w:t>
      </w:r>
    </w:p>
    <w:p w14:paraId="64599B36" w14:textId="77777777" w:rsidR="00022B39" w:rsidRPr="00022B39" w:rsidRDefault="00022B39" w:rsidP="00EE05DD">
      <w:pPr>
        <w:pStyle w:val="ListParagraph"/>
        <w:spacing w:after="200" w:line="276" w:lineRule="auto"/>
        <w:ind w:left="360" w:hanging="709"/>
        <w:jc w:val="both"/>
        <w:rPr>
          <w:rFonts w:ascii="Arial" w:hAnsi="Arial" w:cs="Arial"/>
          <w:i/>
          <w:color w:val="AF173B"/>
          <w:sz w:val="24"/>
          <w:szCs w:val="24"/>
        </w:rPr>
      </w:pPr>
    </w:p>
    <w:p w14:paraId="71F25F3D" w14:textId="7AF64F6D" w:rsidR="00C757D5" w:rsidRDefault="00BF447F" w:rsidP="00EE05DD">
      <w:pPr>
        <w:pStyle w:val="ListParagraph"/>
        <w:numPr>
          <w:ilvl w:val="0"/>
          <w:numId w:val="16"/>
        </w:numPr>
        <w:spacing w:after="200" w:line="276" w:lineRule="auto"/>
        <w:jc w:val="both"/>
        <w:rPr>
          <w:rFonts w:ascii="Arial" w:hAnsi="Arial" w:cs="Arial"/>
          <w:sz w:val="24"/>
          <w:szCs w:val="24"/>
        </w:rPr>
      </w:pPr>
      <w:r w:rsidRPr="00C757D5">
        <w:rPr>
          <w:rFonts w:ascii="Arial" w:hAnsi="Arial" w:cs="Arial"/>
          <w:sz w:val="24"/>
          <w:szCs w:val="24"/>
        </w:rPr>
        <w:lastRenderedPageBreak/>
        <w:t xml:space="preserve">Affordable borrowing limit: </w:t>
      </w:r>
      <w:r w:rsidR="00B32AB4" w:rsidRPr="00C757D5">
        <w:rPr>
          <w:rFonts w:ascii="Arial" w:hAnsi="Arial" w:cs="Arial"/>
          <w:sz w:val="24"/>
          <w:szCs w:val="24"/>
        </w:rPr>
        <w:t xml:space="preserve">The Council is legally obliged to set an affordable borrowing limit </w:t>
      </w:r>
      <w:r w:rsidR="004809E5" w:rsidRPr="00C757D5">
        <w:rPr>
          <w:rFonts w:ascii="Arial" w:hAnsi="Arial" w:cs="Arial"/>
          <w:sz w:val="24"/>
          <w:szCs w:val="24"/>
        </w:rPr>
        <w:t>(also termed the authorised limit</w:t>
      </w:r>
      <w:r w:rsidR="0065206E" w:rsidRPr="00C757D5">
        <w:rPr>
          <w:rFonts w:ascii="Arial" w:hAnsi="Arial" w:cs="Arial"/>
          <w:sz w:val="24"/>
          <w:szCs w:val="24"/>
        </w:rPr>
        <w:t xml:space="preserve"> for external debt</w:t>
      </w:r>
      <w:r w:rsidR="004809E5" w:rsidRPr="00C757D5">
        <w:rPr>
          <w:rFonts w:ascii="Arial" w:hAnsi="Arial" w:cs="Arial"/>
          <w:sz w:val="24"/>
          <w:szCs w:val="24"/>
        </w:rPr>
        <w:t xml:space="preserve">) </w:t>
      </w:r>
      <w:r w:rsidR="00B32AB4" w:rsidRPr="00C757D5">
        <w:rPr>
          <w:rFonts w:ascii="Arial" w:hAnsi="Arial" w:cs="Arial"/>
          <w:sz w:val="24"/>
          <w:szCs w:val="24"/>
        </w:rPr>
        <w:t>each year.</w:t>
      </w:r>
      <w:r w:rsidR="00B32AB4" w:rsidRPr="00C757D5">
        <w:rPr>
          <w:rFonts w:ascii="Arial" w:hAnsi="Arial" w:cs="Arial"/>
          <w:color w:val="AF173B"/>
          <w:sz w:val="24"/>
          <w:szCs w:val="24"/>
        </w:rPr>
        <w:t xml:space="preserve"> </w:t>
      </w:r>
      <w:r w:rsidR="004809E5" w:rsidRPr="00C757D5">
        <w:rPr>
          <w:rFonts w:ascii="Arial" w:hAnsi="Arial" w:cs="Arial"/>
          <w:sz w:val="24"/>
          <w:szCs w:val="24"/>
        </w:rPr>
        <w:t>In line with statutory guidance, a lower “operational boundary” is also set as a warning level</w:t>
      </w:r>
      <w:r w:rsidR="0065206E" w:rsidRPr="00C757D5">
        <w:rPr>
          <w:rFonts w:ascii="Arial" w:hAnsi="Arial" w:cs="Arial"/>
          <w:sz w:val="24"/>
          <w:szCs w:val="24"/>
        </w:rPr>
        <w:t xml:space="preserve"> should debt approach the limit.</w:t>
      </w:r>
      <w:r w:rsidR="00C757D5" w:rsidRPr="00C757D5">
        <w:rPr>
          <w:rFonts w:ascii="Arial" w:hAnsi="Arial" w:cs="Arial"/>
          <w:sz w:val="24"/>
          <w:szCs w:val="24"/>
        </w:rPr>
        <w:t xml:space="preserve"> Further details on borrowing can be found in the Treasury Management Strategy. </w:t>
      </w:r>
    </w:p>
    <w:p w14:paraId="052E92BB" w14:textId="58CD41C2" w:rsidR="004809E5" w:rsidRPr="00844411" w:rsidRDefault="004809E5" w:rsidP="00EE05DD">
      <w:pPr>
        <w:spacing w:after="200" w:line="276" w:lineRule="auto"/>
        <w:ind w:left="360"/>
        <w:contextualSpacing/>
        <w:jc w:val="both"/>
        <w:rPr>
          <w:rFonts w:ascii="Arial" w:hAnsi="Arial" w:cs="Arial"/>
          <w:b/>
          <w:sz w:val="24"/>
          <w:szCs w:val="24"/>
          <w:u w:val="single"/>
        </w:rPr>
      </w:pPr>
      <w:r w:rsidRPr="00844411">
        <w:rPr>
          <w:rFonts w:ascii="Arial" w:hAnsi="Arial" w:cs="Arial"/>
          <w:b/>
          <w:sz w:val="24"/>
          <w:szCs w:val="24"/>
          <w:u w:val="single"/>
        </w:rPr>
        <w:t xml:space="preserve">Table </w:t>
      </w:r>
      <w:r w:rsidR="00EE05DD">
        <w:rPr>
          <w:rFonts w:ascii="Arial" w:hAnsi="Arial" w:cs="Arial"/>
          <w:b/>
          <w:sz w:val="24"/>
          <w:szCs w:val="24"/>
          <w:u w:val="single"/>
        </w:rPr>
        <w:t>5</w:t>
      </w:r>
      <w:r w:rsidRPr="00844411">
        <w:rPr>
          <w:rFonts w:ascii="Arial" w:hAnsi="Arial" w:cs="Arial"/>
          <w:b/>
          <w:sz w:val="24"/>
          <w:szCs w:val="24"/>
          <w:u w:val="single"/>
        </w:rPr>
        <w:t xml:space="preserve">: Prudential Indicators: Authorised </w:t>
      </w:r>
      <w:r w:rsidR="00844411">
        <w:rPr>
          <w:rFonts w:ascii="Arial" w:hAnsi="Arial" w:cs="Arial"/>
          <w:b/>
          <w:sz w:val="24"/>
          <w:szCs w:val="24"/>
          <w:u w:val="single"/>
        </w:rPr>
        <w:t>L</w:t>
      </w:r>
      <w:r w:rsidRPr="00844411">
        <w:rPr>
          <w:rFonts w:ascii="Arial" w:hAnsi="Arial" w:cs="Arial"/>
          <w:b/>
          <w:sz w:val="24"/>
          <w:szCs w:val="24"/>
          <w:u w:val="single"/>
        </w:rPr>
        <w:t xml:space="preserve">imit and </w:t>
      </w:r>
      <w:r w:rsidR="00844411">
        <w:rPr>
          <w:rFonts w:ascii="Arial" w:hAnsi="Arial" w:cs="Arial"/>
          <w:b/>
          <w:sz w:val="24"/>
          <w:szCs w:val="24"/>
          <w:u w:val="single"/>
        </w:rPr>
        <w:t>O</w:t>
      </w:r>
      <w:r w:rsidRPr="00844411">
        <w:rPr>
          <w:rFonts w:ascii="Arial" w:hAnsi="Arial" w:cs="Arial"/>
          <w:b/>
          <w:sz w:val="24"/>
          <w:szCs w:val="24"/>
          <w:u w:val="single"/>
        </w:rPr>
        <w:t xml:space="preserve">perational </w:t>
      </w:r>
      <w:r w:rsidR="00844411">
        <w:rPr>
          <w:rFonts w:ascii="Arial" w:hAnsi="Arial" w:cs="Arial"/>
          <w:b/>
          <w:sz w:val="24"/>
          <w:szCs w:val="24"/>
          <w:u w:val="single"/>
        </w:rPr>
        <w:t>B</w:t>
      </w:r>
      <w:r w:rsidRPr="00844411">
        <w:rPr>
          <w:rFonts w:ascii="Arial" w:hAnsi="Arial" w:cs="Arial"/>
          <w:b/>
          <w:sz w:val="24"/>
          <w:szCs w:val="24"/>
          <w:u w:val="single"/>
        </w:rPr>
        <w:t>oundary for external debt</w:t>
      </w:r>
    </w:p>
    <w:tbl>
      <w:tblPr>
        <w:tblStyle w:val="TableGrid"/>
        <w:tblW w:w="7446" w:type="dxa"/>
        <w:tblInd w:w="817" w:type="dxa"/>
        <w:tblLayout w:type="fixed"/>
        <w:tblLook w:val="04A0" w:firstRow="1" w:lastRow="0" w:firstColumn="1" w:lastColumn="0" w:noHBand="0" w:noVBand="1"/>
      </w:tblPr>
      <w:tblGrid>
        <w:gridCol w:w="3366"/>
        <w:gridCol w:w="1020"/>
        <w:gridCol w:w="1020"/>
        <w:gridCol w:w="1020"/>
        <w:gridCol w:w="1020"/>
      </w:tblGrid>
      <w:tr w:rsidR="00151F72" w:rsidRPr="00D85345" w14:paraId="34E01E4E" w14:textId="04A27807" w:rsidTr="00EE05DD">
        <w:tc>
          <w:tcPr>
            <w:tcW w:w="3366" w:type="dxa"/>
            <w:shd w:val="clear" w:color="auto" w:fill="BFBFBF" w:themeFill="background1" w:themeFillShade="BF"/>
          </w:tcPr>
          <w:p w14:paraId="2FCA7E8E" w14:textId="77777777" w:rsidR="00151F72" w:rsidRPr="00B13556" w:rsidRDefault="00151F72" w:rsidP="00EE05DD">
            <w:pPr>
              <w:spacing w:before="60" w:after="60" w:line="276" w:lineRule="auto"/>
              <w:jc w:val="both"/>
              <w:rPr>
                <w:rFonts w:ascii="Arial" w:hAnsi="Arial" w:cs="Arial"/>
              </w:rPr>
            </w:pPr>
          </w:p>
        </w:tc>
        <w:tc>
          <w:tcPr>
            <w:tcW w:w="1020" w:type="dxa"/>
            <w:shd w:val="clear" w:color="auto" w:fill="BFBFBF" w:themeFill="background1" w:themeFillShade="BF"/>
          </w:tcPr>
          <w:p w14:paraId="4FDB358F" w14:textId="0ADDC38E" w:rsidR="00151F72" w:rsidRDefault="00151F72" w:rsidP="00EE05DD">
            <w:pPr>
              <w:spacing w:before="60" w:after="60" w:line="276" w:lineRule="auto"/>
              <w:jc w:val="both"/>
              <w:rPr>
                <w:rFonts w:ascii="Arial" w:hAnsi="Arial" w:cs="Arial"/>
                <w:b/>
              </w:rPr>
            </w:pPr>
            <w:r w:rsidRPr="00B13556">
              <w:rPr>
                <w:rFonts w:ascii="Arial" w:hAnsi="Arial" w:cs="Arial"/>
                <w:b/>
              </w:rPr>
              <w:t>201</w:t>
            </w:r>
            <w:r>
              <w:rPr>
                <w:rFonts w:ascii="Arial" w:hAnsi="Arial" w:cs="Arial"/>
                <w:b/>
              </w:rPr>
              <w:t>7</w:t>
            </w:r>
            <w:r w:rsidRPr="00B13556">
              <w:rPr>
                <w:rFonts w:ascii="Arial" w:hAnsi="Arial" w:cs="Arial"/>
                <w:b/>
              </w:rPr>
              <w:t>/1</w:t>
            </w:r>
            <w:r>
              <w:rPr>
                <w:rFonts w:ascii="Arial" w:hAnsi="Arial" w:cs="Arial"/>
                <w:b/>
              </w:rPr>
              <w:t>8</w:t>
            </w:r>
            <w:r w:rsidRPr="00B13556">
              <w:rPr>
                <w:rFonts w:ascii="Arial" w:hAnsi="Arial" w:cs="Arial"/>
                <w:b/>
              </w:rPr>
              <w:t xml:space="preserve"> limit</w:t>
            </w:r>
          </w:p>
          <w:p w14:paraId="28D29E1C" w14:textId="27A29EF8" w:rsidR="00151F72" w:rsidRPr="00B13556" w:rsidRDefault="00151F72" w:rsidP="00EE05DD">
            <w:pPr>
              <w:spacing w:before="60" w:after="60" w:line="276" w:lineRule="auto"/>
              <w:jc w:val="both"/>
              <w:rPr>
                <w:rFonts w:ascii="Arial" w:hAnsi="Arial" w:cs="Arial"/>
                <w:b/>
              </w:rPr>
            </w:pPr>
            <w:r>
              <w:rPr>
                <w:rFonts w:ascii="Arial" w:hAnsi="Arial" w:cs="Arial"/>
                <w:b/>
              </w:rPr>
              <w:t>£m</w:t>
            </w:r>
          </w:p>
        </w:tc>
        <w:tc>
          <w:tcPr>
            <w:tcW w:w="1020" w:type="dxa"/>
            <w:shd w:val="clear" w:color="auto" w:fill="BFBFBF" w:themeFill="background1" w:themeFillShade="BF"/>
          </w:tcPr>
          <w:p w14:paraId="4964E83A" w14:textId="77777777" w:rsidR="00151F72" w:rsidRDefault="00151F72" w:rsidP="00EE05DD">
            <w:pPr>
              <w:spacing w:before="60" w:after="60" w:line="276" w:lineRule="auto"/>
              <w:jc w:val="both"/>
              <w:rPr>
                <w:rFonts w:ascii="Arial" w:hAnsi="Arial" w:cs="Arial"/>
                <w:b/>
              </w:rPr>
            </w:pPr>
            <w:r w:rsidRPr="00B13556">
              <w:rPr>
                <w:rFonts w:ascii="Arial" w:hAnsi="Arial" w:cs="Arial"/>
                <w:b/>
              </w:rPr>
              <w:t>2018/19 limit</w:t>
            </w:r>
          </w:p>
          <w:p w14:paraId="5EC2D0F4" w14:textId="3F2DC858" w:rsidR="00151F72" w:rsidRPr="00B13556" w:rsidRDefault="00151F72" w:rsidP="00EE05DD">
            <w:pPr>
              <w:spacing w:before="60" w:after="60" w:line="276" w:lineRule="auto"/>
              <w:jc w:val="both"/>
              <w:rPr>
                <w:rFonts w:ascii="Arial" w:hAnsi="Arial" w:cs="Arial"/>
                <w:b/>
              </w:rPr>
            </w:pPr>
            <w:r>
              <w:rPr>
                <w:rFonts w:ascii="Arial" w:hAnsi="Arial" w:cs="Arial"/>
                <w:b/>
              </w:rPr>
              <w:t>£m</w:t>
            </w:r>
          </w:p>
        </w:tc>
        <w:tc>
          <w:tcPr>
            <w:tcW w:w="1020" w:type="dxa"/>
            <w:shd w:val="clear" w:color="auto" w:fill="BFBFBF" w:themeFill="background1" w:themeFillShade="BF"/>
          </w:tcPr>
          <w:p w14:paraId="24B958C7" w14:textId="3EAF3A77" w:rsidR="00151F72" w:rsidRDefault="00151F72" w:rsidP="00EE05DD">
            <w:pPr>
              <w:spacing w:before="60" w:after="60" w:line="276" w:lineRule="auto"/>
              <w:jc w:val="both"/>
              <w:rPr>
                <w:rFonts w:ascii="Arial" w:hAnsi="Arial" w:cs="Arial"/>
                <w:b/>
              </w:rPr>
            </w:pPr>
            <w:r w:rsidRPr="00B13556">
              <w:rPr>
                <w:rFonts w:ascii="Arial" w:hAnsi="Arial" w:cs="Arial"/>
                <w:b/>
              </w:rPr>
              <w:t>201</w:t>
            </w:r>
            <w:r>
              <w:rPr>
                <w:rFonts w:ascii="Arial" w:hAnsi="Arial" w:cs="Arial"/>
                <w:b/>
              </w:rPr>
              <w:t>9</w:t>
            </w:r>
            <w:r w:rsidRPr="00B13556">
              <w:rPr>
                <w:rFonts w:ascii="Arial" w:hAnsi="Arial" w:cs="Arial"/>
                <w:b/>
              </w:rPr>
              <w:t>/</w:t>
            </w:r>
            <w:r>
              <w:rPr>
                <w:rFonts w:ascii="Arial" w:hAnsi="Arial" w:cs="Arial"/>
                <w:b/>
              </w:rPr>
              <w:t>20</w:t>
            </w:r>
            <w:r w:rsidRPr="00B13556">
              <w:rPr>
                <w:rFonts w:ascii="Arial" w:hAnsi="Arial" w:cs="Arial"/>
                <w:b/>
              </w:rPr>
              <w:t xml:space="preserve"> limit</w:t>
            </w:r>
          </w:p>
          <w:p w14:paraId="0C106D6E" w14:textId="758F851C" w:rsidR="00151F72" w:rsidRPr="00B13556" w:rsidRDefault="00151F72" w:rsidP="00EE05DD">
            <w:pPr>
              <w:spacing w:before="60" w:after="60" w:line="276" w:lineRule="auto"/>
              <w:jc w:val="both"/>
              <w:rPr>
                <w:rFonts w:ascii="Arial" w:hAnsi="Arial" w:cs="Arial"/>
                <w:b/>
              </w:rPr>
            </w:pPr>
            <w:r>
              <w:rPr>
                <w:rFonts w:ascii="Arial" w:hAnsi="Arial" w:cs="Arial"/>
                <w:b/>
              </w:rPr>
              <w:t>£m</w:t>
            </w:r>
          </w:p>
        </w:tc>
        <w:tc>
          <w:tcPr>
            <w:tcW w:w="1020" w:type="dxa"/>
            <w:shd w:val="clear" w:color="auto" w:fill="BFBFBF" w:themeFill="background1" w:themeFillShade="BF"/>
          </w:tcPr>
          <w:p w14:paraId="2B7FAB6B" w14:textId="77777777" w:rsidR="00151F72" w:rsidRDefault="00151F72" w:rsidP="00EE05DD">
            <w:pPr>
              <w:spacing w:before="60" w:after="60" w:line="276" w:lineRule="auto"/>
              <w:jc w:val="both"/>
              <w:rPr>
                <w:rFonts w:ascii="Arial" w:hAnsi="Arial" w:cs="Arial"/>
                <w:b/>
              </w:rPr>
            </w:pPr>
            <w:r w:rsidRPr="00B13556">
              <w:rPr>
                <w:rFonts w:ascii="Arial" w:hAnsi="Arial" w:cs="Arial"/>
                <w:b/>
              </w:rPr>
              <w:t>2020/21 limit</w:t>
            </w:r>
          </w:p>
          <w:p w14:paraId="39351E26" w14:textId="5BDFF918" w:rsidR="00151F72" w:rsidRPr="00B13556" w:rsidRDefault="00151F72" w:rsidP="00EE05DD">
            <w:pPr>
              <w:spacing w:before="60" w:after="60" w:line="276" w:lineRule="auto"/>
              <w:jc w:val="both"/>
              <w:rPr>
                <w:rFonts w:ascii="Arial" w:hAnsi="Arial" w:cs="Arial"/>
                <w:b/>
              </w:rPr>
            </w:pPr>
            <w:r>
              <w:rPr>
                <w:rFonts w:ascii="Arial" w:hAnsi="Arial" w:cs="Arial"/>
                <w:b/>
              </w:rPr>
              <w:t>£m</w:t>
            </w:r>
          </w:p>
        </w:tc>
      </w:tr>
      <w:tr w:rsidR="00151F72" w:rsidRPr="00D85345" w14:paraId="37F9464B" w14:textId="15F6FD89" w:rsidTr="00EE05DD">
        <w:trPr>
          <w:trHeight w:val="720"/>
        </w:trPr>
        <w:tc>
          <w:tcPr>
            <w:tcW w:w="3366" w:type="dxa"/>
          </w:tcPr>
          <w:p w14:paraId="14F7653D" w14:textId="0C2C8212" w:rsidR="00151F72" w:rsidRPr="00B13556" w:rsidRDefault="00151F72" w:rsidP="00EE05DD">
            <w:pPr>
              <w:spacing w:before="60" w:after="60" w:line="276" w:lineRule="auto"/>
              <w:jc w:val="both"/>
              <w:rPr>
                <w:rFonts w:ascii="Arial" w:hAnsi="Arial" w:cs="Arial"/>
                <w:b/>
              </w:rPr>
            </w:pPr>
            <w:r w:rsidRPr="00B13556">
              <w:rPr>
                <w:rFonts w:ascii="Arial" w:hAnsi="Arial" w:cs="Arial"/>
                <w:b/>
              </w:rPr>
              <w:t xml:space="preserve">Authorised </w:t>
            </w:r>
            <w:r w:rsidR="00844411">
              <w:rPr>
                <w:rFonts w:ascii="Arial" w:hAnsi="Arial" w:cs="Arial"/>
                <w:b/>
              </w:rPr>
              <w:t>L</w:t>
            </w:r>
            <w:r w:rsidRPr="00B13556">
              <w:rPr>
                <w:rFonts w:ascii="Arial" w:hAnsi="Arial" w:cs="Arial"/>
                <w:b/>
              </w:rPr>
              <w:t>imit – total external debt</w:t>
            </w:r>
          </w:p>
        </w:tc>
        <w:tc>
          <w:tcPr>
            <w:tcW w:w="1020" w:type="dxa"/>
            <w:vAlign w:val="center"/>
          </w:tcPr>
          <w:p w14:paraId="6213FC69" w14:textId="21BBDB0F" w:rsidR="00151F72" w:rsidRPr="00151F72" w:rsidRDefault="00151F72" w:rsidP="00EE05DD">
            <w:pPr>
              <w:spacing w:before="60" w:after="60" w:line="276" w:lineRule="auto"/>
              <w:jc w:val="both"/>
              <w:rPr>
                <w:rFonts w:ascii="Arial" w:hAnsi="Arial" w:cs="Arial"/>
                <w:b/>
              </w:rPr>
            </w:pPr>
            <w:r w:rsidRPr="00151F72">
              <w:rPr>
                <w:rFonts w:ascii="Arial" w:hAnsi="Arial" w:cs="Arial"/>
              </w:rPr>
              <w:t>494</w:t>
            </w:r>
          </w:p>
        </w:tc>
        <w:tc>
          <w:tcPr>
            <w:tcW w:w="1020" w:type="dxa"/>
            <w:vAlign w:val="center"/>
          </w:tcPr>
          <w:p w14:paraId="406D4327" w14:textId="3B42010D" w:rsidR="00151F72" w:rsidRPr="00151F72" w:rsidRDefault="00151F72" w:rsidP="00EE05DD">
            <w:pPr>
              <w:spacing w:before="60" w:after="60" w:line="276" w:lineRule="auto"/>
              <w:jc w:val="both"/>
              <w:rPr>
                <w:rFonts w:ascii="Arial" w:hAnsi="Arial" w:cs="Arial"/>
                <w:b/>
              </w:rPr>
            </w:pPr>
            <w:r w:rsidRPr="00151F72">
              <w:rPr>
                <w:rFonts w:ascii="Arial" w:hAnsi="Arial" w:cs="Arial"/>
              </w:rPr>
              <w:t>593</w:t>
            </w:r>
          </w:p>
        </w:tc>
        <w:tc>
          <w:tcPr>
            <w:tcW w:w="1020" w:type="dxa"/>
            <w:vAlign w:val="center"/>
          </w:tcPr>
          <w:p w14:paraId="2857752C" w14:textId="23E9D903" w:rsidR="00151F72" w:rsidRPr="00151F72" w:rsidRDefault="00151F72" w:rsidP="00EE05DD">
            <w:pPr>
              <w:spacing w:before="60" w:after="60" w:line="276" w:lineRule="auto"/>
              <w:jc w:val="both"/>
              <w:rPr>
                <w:rFonts w:ascii="Arial" w:hAnsi="Arial" w:cs="Arial"/>
                <w:b/>
              </w:rPr>
            </w:pPr>
            <w:r w:rsidRPr="00151F72">
              <w:rPr>
                <w:rFonts w:ascii="Arial" w:hAnsi="Arial" w:cs="Arial"/>
              </w:rPr>
              <w:t>667</w:t>
            </w:r>
          </w:p>
        </w:tc>
        <w:tc>
          <w:tcPr>
            <w:tcW w:w="1020" w:type="dxa"/>
            <w:vAlign w:val="center"/>
          </w:tcPr>
          <w:p w14:paraId="58E10A6F" w14:textId="21B3F778" w:rsidR="00151F72" w:rsidRPr="00151F72" w:rsidRDefault="00151F72" w:rsidP="00EE05DD">
            <w:pPr>
              <w:spacing w:before="60" w:after="60" w:line="276" w:lineRule="auto"/>
              <w:jc w:val="both"/>
              <w:rPr>
                <w:rFonts w:ascii="Arial" w:hAnsi="Arial" w:cs="Arial"/>
                <w:b/>
              </w:rPr>
            </w:pPr>
            <w:r w:rsidRPr="00151F72">
              <w:rPr>
                <w:rFonts w:ascii="Arial" w:hAnsi="Arial" w:cs="Arial"/>
              </w:rPr>
              <w:t>696</w:t>
            </w:r>
          </w:p>
        </w:tc>
      </w:tr>
      <w:tr w:rsidR="00151F72" w:rsidRPr="00D85345" w14:paraId="229784D6" w14:textId="434C4C45" w:rsidTr="00EE05DD">
        <w:tc>
          <w:tcPr>
            <w:tcW w:w="3366" w:type="dxa"/>
          </w:tcPr>
          <w:p w14:paraId="710A7CB1" w14:textId="23AC947F" w:rsidR="00151F72" w:rsidRPr="00B13556" w:rsidRDefault="00151F72" w:rsidP="00EE05DD">
            <w:pPr>
              <w:spacing w:before="60" w:after="60" w:line="276" w:lineRule="auto"/>
              <w:jc w:val="both"/>
              <w:rPr>
                <w:rFonts w:ascii="Arial" w:hAnsi="Arial" w:cs="Arial"/>
                <w:b/>
              </w:rPr>
            </w:pPr>
            <w:r w:rsidRPr="00B13556">
              <w:rPr>
                <w:rFonts w:ascii="Arial" w:hAnsi="Arial" w:cs="Arial"/>
                <w:b/>
              </w:rPr>
              <w:t xml:space="preserve">Operational </w:t>
            </w:r>
            <w:r w:rsidR="00844411">
              <w:rPr>
                <w:rFonts w:ascii="Arial" w:hAnsi="Arial" w:cs="Arial"/>
                <w:b/>
              </w:rPr>
              <w:t>B</w:t>
            </w:r>
            <w:r w:rsidRPr="00B13556">
              <w:rPr>
                <w:rFonts w:ascii="Arial" w:hAnsi="Arial" w:cs="Arial"/>
                <w:b/>
              </w:rPr>
              <w:t>oundary – total external debt</w:t>
            </w:r>
          </w:p>
        </w:tc>
        <w:tc>
          <w:tcPr>
            <w:tcW w:w="1020" w:type="dxa"/>
            <w:vAlign w:val="center"/>
          </w:tcPr>
          <w:p w14:paraId="7EA83614" w14:textId="243DD384" w:rsidR="00151F72" w:rsidRPr="00151F72" w:rsidRDefault="00151F72" w:rsidP="00EE05DD">
            <w:pPr>
              <w:spacing w:before="60" w:after="60" w:line="276" w:lineRule="auto"/>
              <w:jc w:val="both"/>
              <w:rPr>
                <w:rFonts w:ascii="Arial" w:hAnsi="Arial" w:cs="Arial"/>
                <w:b/>
              </w:rPr>
            </w:pPr>
            <w:r w:rsidRPr="00151F72">
              <w:rPr>
                <w:rFonts w:ascii="Arial" w:hAnsi="Arial" w:cs="Arial"/>
              </w:rPr>
              <w:t>358</w:t>
            </w:r>
          </w:p>
        </w:tc>
        <w:tc>
          <w:tcPr>
            <w:tcW w:w="1020" w:type="dxa"/>
            <w:vAlign w:val="center"/>
          </w:tcPr>
          <w:p w14:paraId="734271E1" w14:textId="538B2D6F" w:rsidR="00151F72" w:rsidRPr="00151F72" w:rsidRDefault="00151F72" w:rsidP="00EE05DD">
            <w:pPr>
              <w:spacing w:before="60" w:after="60" w:line="276" w:lineRule="auto"/>
              <w:jc w:val="both"/>
              <w:rPr>
                <w:rFonts w:ascii="Arial" w:hAnsi="Arial" w:cs="Arial"/>
                <w:b/>
              </w:rPr>
            </w:pPr>
            <w:r w:rsidRPr="00151F72">
              <w:rPr>
                <w:rFonts w:ascii="Arial" w:hAnsi="Arial" w:cs="Arial"/>
              </w:rPr>
              <w:t>550</w:t>
            </w:r>
          </w:p>
        </w:tc>
        <w:tc>
          <w:tcPr>
            <w:tcW w:w="1020" w:type="dxa"/>
            <w:vAlign w:val="center"/>
          </w:tcPr>
          <w:p w14:paraId="55F3F58B" w14:textId="446AD2FE" w:rsidR="00151F72" w:rsidRPr="00151F72" w:rsidRDefault="00151F72" w:rsidP="00EE05DD">
            <w:pPr>
              <w:spacing w:before="60" w:after="60" w:line="276" w:lineRule="auto"/>
              <w:jc w:val="both"/>
              <w:rPr>
                <w:rFonts w:ascii="Arial" w:hAnsi="Arial" w:cs="Arial"/>
                <w:b/>
              </w:rPr>
            </w:pPr>
            <w:r w:rsidRPr="00151F72">
              <w:rPr>
                <w:rFonts w:ascii="Arial" w:hAnsi="Arial" w:cs="Arial"/>
              </w:rPr>
              <w:t>646</w:t>
            </w:r>
          </w:p>
        </w:tc>
        <w:tc>
          <w:tcPr>
            <w:tcW w:w="1020" w:type="dxa"/>
            <w:vAlign w:val="center"/>
          </w:tcPr>
          <w:p w14:paraId="59656A1D" w14:textId="501238BD" w:rsidR="00151F72" w:rsidRPr="00151F72" w:rsidRDefault="00151F72" w:rsidP="00EE05DD">
            <w:pPr>
              <w:spacing w:before="60" w:after="60" w:line="276" w:lineRule="auto"/>
              <w:jc w:val="both"/>
              <w:rPr>
                <w:rFonts w:ascii="Arial" w:hAnsi="Arial" w:cs="Arial"/>
                <w:b/>
              </w:rPr>
            </w:pPr>
            <w:r w:rsidRPr="00151F72">
              <w:rPr>
                <w:rFonts w:ascii="Arial" w:hAnsi="Arial" w:cs="Arial"/>
              </w:rPr>
              <w:t>695</w:t>
            </w:r>
          </w:p>
        </w:tc>
      </w:tr>
    </w:tbl>
    <w:p w14:paraId="4090E28E" w14:textId="0E7CA552" w:rsidR="009B2CB8" w:rsidRDefault="009B2CB8" w:rsidP="00EE05DD">
      <w:pPr>
        <w:pStyle w:val="ListParagraph"/>
        <w:spacing w:after="200" w:line="276" w:lineRule="auto"/>
        <w:jc w:val="both"/>
        <w:rPr>
          <w:rFonts w:ascii="Arial" w:hAnsi="Arial" w:cs="Arial"/>
          <w:sz w:val="24"/>
          <w:szCs w:val="24"/>
        </w:rPr>
      </w:pPr>
    </w:p>
    <w:p w14:paraId="5EDEE7E5" w14:textId="7F92353E" w:rsidR="00D654D8" w:rsidRPr="00D654D8" w:rsidRDefault="00D654D8" w:rsidP="00EE05DD">
      <w:pPr>
        <w:pStyle w:val="ListParagraph"/>
        <w:spacing w:after="200" w:line="276" w:lineRule="auto"/>
        <w:ind w:left="0"/>
        <w:jc w:val="both"/>
        <w:rPr>
          <w:rFonts w:ascii="Arial" w:hAnsi="Arial" w:cs="Arial"/>
          <w:b/>
          <w:sz w:val="24"/>
          <w:szCs w:val="24"/>
        </w:rPr>
      </w:pPr>
      <w:r>
        <w:rPr>
          <w:rFonts w:ascii="Arial" w:hAnsi="Arial" w:cs="Arial"/>
          <w:b/>
          <w:sz w:val="24"/>
          <w:szCs w:val="24"/>
        </w:rPr>
        <w:t xml:space="preserve">Treasury </w:t>
      </w:r>
      <w:r w:rsidRPr="00D654D8">
        <w:rPr>
          <w:rFonts w:ascii="Arial" w:hAnsi="Arial" w:cs="Arial"/>
          <w:b/>
          <w:sz w:val="24"/>
          <w:szCs w:val="24"/>
        </w:rPr>
        <w:t>Investment Strategy</w:t>
      </w:r>
    </w:p>
    <w:p w14:paraId="6420AB8E" w14:textId="77777777" w:rsidR="00D654D8" w:rsidRPr="00D85345" w:rsidRDefault="00D654D8" w:rsidP="00EE05DD">
      <w:pPr>
        <w:pStyle w:val="ListParagraph"/>
        <w:spacing w:after="200" w:line="276" w:lineRule="auto"/>
        <w:jc w:val="both"/>
        <w:rPr>
          <w:rFonts w:ascii="Arial" w:hAnsi="Arial" w:cs="Arial"/>
          <w:sz w:val="24"/>
          <w:szCs w:val="24"/>
        </w:rPr>
      </w:pPr>
    </w:p>
    <w:p w14:paraId="33DC1432" w14:textId="74E6DE6D" w:rsidR="004809E5" w:rsidRDefault="004809E5" w:rsidP="00EE05DD">
      <w:pPr>
        <w:pStyle w:val="ListParagraph"/>
        <w:numPr>
          <w:ilvl w:val="0"/>
          <w:numId w:val="16"/>
        </w:numPr>
        <w:spacing w:after="200" w:line="276" w:lineRule="auto"/>
        <w:jc w:val="both"/>
        <w:rPr>
          <w:rFonts w:ascii="Arial" w:hAnsi="Arial" w:cs="Arial"/>
          <w:sz w:val="24"/>
          <w:szCs w:val="24"/>
        </w:rPr>
      </w:pPr>
      <w:r w:rsidRPr="003B03A8">
        <w:rPr>
          <w:rFonts w:ascii="Arial" w:hAnsi="Arial" w:cs="Arial"/>
          <w:sz w:val="24"/>
          <w:szCs w:val="24"/>
        </w:rPr>
        <w:t xml:space="preserve">Treasury investments arise from receiving cash before it is paid out again. Investments made for service reasons or for </w:t>
      </w:r>
      <w:r w:rsidR="00532CC7" w:rsidRPr="003B03A8">
        <w:rPr>
          <w:rFonts w:ascii="Arial" w:hAnsi="Arial" w:cs="Arial"/>
          <w:sz w:val="24"/>
          <w:szCs w:val="24"/>
        </w:rPr>
        <w:t>pure financial</w:t>
      </w:r>
      <w:r w:rsidRPr="003B03A8">
        <w:rPr>
          <w:rFonts w:ascii="Arial" w:hAnsi="Arial" w:cs="Arial"/>
          <w:sz w:val="24"/>
          <w:szCs w:val="24"/>
        </w:rPr>
        <w:t xml:space="preserve"> gain are not generally considered to be part of treasury management. </w:t>
      </w:r>
    </w:p>
    <w:p w14:paraId="09114DA3" w14:textId="77777777" w:rsidR="003B03A8" w:rsidRPr="003B03A8" w:rsidRDefault="003B03A8" w:rsidP="00EE05DD">
      <w:pPr>
        <w:pStyle w:val="ListParagraph"/>
        <w:spacing w:after="200" w:line="276" w:lineRule="auto"/>
        <w:ind w:left="709" w:hanging="709"/>
        <w:jc w:val="both"/>
        <w:rPr>
          <w:rFonts w:ascii="Arial" w:hAnsi="Arial" w:cs="Arial"/>
          <w:sz w:val="24"/>
          <w:szCs w:val="24"/>
        </w:rPr>
      </w:pPr>
    </w:p>
    <w:p w14:paraId="51BE4DE1" w14:textId="75996FB4" w:rsidR="003B03A8" w:rsidRDefault="004809E5" w:rsidP="00EE05DD">
      <w:pPr>
        <w:pStyle w:val="ListParagraph"/>
        <w:numPr>
          <w:ilvl w:val="0"/>
          <w:numId w:val="16"/>
        </w:numPr>
        <w:spacing w:after="200" w:line="276" w:lineRule="auto"/>
        <w:jc w:val="both"/>
        <w:rPr>
          <w:rFonts w:ascii="Arial" w:hAnsi="Arial" w:cs="Arial"/>
          <w:sz w:val="24"/>
          <w:szCs w:val="24"/>
        </w:rPr>
      </w:pPr>
      <w:r w:rsidRPr="003B03A8">
        <w:rPr>
          <w:rFonts w:ascii="Arial" w:hAnsi="Arial" w:cs="Arial"/>
          <w:sz w:val="24"/>
          <w:szCs w:val="24"/>
        </w:rPr>
        <w:t xml:space="preserve">The Council’s policy on treasury investments is to prioritise security and liquidity over </w:t>
      </w:r>
      <w:r w:rsidR="00D654D8" w:rsidRPr="003B03A8">
        <w:rPr>
          <w:rFonts w:ascii="Arial" w:hAnsi="Arial" w:cs="Arial"/>
          <w:sz w:val="24"/>
          <w:szCs w:val="24"/>
        </w:rPr>
        <w:t>yield</w:t>
      </w:r>
      <w:r w:rsidR="00D654D8">
        <w:rPr>
          <w:rFonts w:ascii="Arial" w:hAnsi="Arial" w:cs="Arial"/>
          <w:sz w:val="24"/>
          <w:szCs w:val="24"/>
        </w:rPr>
        <w:t xml:space="preserve">, </w:t>
      </w:r>
      <w:r w:rsidR="00D654D8" w:rsidRPr="003B03A8">
        <w:rPr>
          <w:rFonts w:ascii="Arial" w:hAnsi="Arial" w:cs="Arial"/>
          <w:sz w:val="24"/>
          <w:szCs w:val="24"/>
        </w:rPr>
        <w:t>which</w:t>
      </w:r>
      <w:r w:rsidR="00EB6518" w:rsidRPr="003B03A8">
        <w:rPr>
          <w:rFonts w:ascii="Arial" w:hAnsi="Arial" w:cs="Arial"/>
          <w:sz w:val="24"/>
          <w:szCs w:val="24"/>
        </w:rPr>
        <w:t xml:space="preserve"> is to focus on minimising risk </w:t>
      </w:r>
      <w:r w:rsidR="00551161" w:rsidRPr="003B03A8">
        <w:rPr>
          <w:rFonts w:ascii="Arial" w:hAnsi="Arial" w:cs="Arial"/>
          <w:sz w:val="24"/>
          <w:szCs w:val="24"/>
        </w:rPr>
        <w:t>r</w:t>
      </w:r>
      <w:r w:rsidR="00EB6518" w:rsidRPr="003B03A8">
        <w:rPr>
          <w:rFonts w:ascii="Arial" w:hAnsi="Arial" w:cs="Arial"/>
          <w:sz w:val="24"/>
          <w:szCs w:val="24"/>
        </w:rPr>
        <w:t xml:space="preserve">ather than maximising returns. </w:t>
      </w:r>
      <w:r w:rsidR="00551161" w:rsidRPr="003B03A8">
        <w:rPr>
          <w:rFonts w:ascii="Arial" w:hAnsi="Arial" w:cs="Arial"/>
          <w:sz w:val="24"/>
          <w:szCs w:val="24"/>
        </w:rPr>
        <w:t>Cash that is likely to be spent in the near term is invested securely, for example with the government, other local authorities or selected high-quality banks</w:t>
      </w:r>
      <w:r w:rsidR="009469D9" w:rsidRPr="003B03A8">
        <w:rPr>
          <w:rFonts w:ascii="Arial" w:hAnsi="Arial" w:cs="Arial"/>
          <w:sz w:val="24"/>
          <w:szCs w:val="24"/>
        </w:rPr>
        <w:t>, to minimise the risk of loss.</w:t>
      </w:r>
      <w:r w:rsidR="00551161" w:rsidRPr="003B03A8">
        <w:rPr>
          <w:rFonts w:ascii="Arial" w:hAnsi="Arial" w:cs="Arial"/>
          <w:sz w:val="24"/>
          <w:szCs w:val="24"/>
        </w:rPr>
        <w:t xml:space="preserve"> </w:t>
      </w:r>
      <w:r w:rsidR="009469D9" w:rsidRPr="003B03A8">
        <w:rPr>
          <w:rFonts w:ascii="Arial" w:hAnsi="Arial" w:cs="Arial"/>
          <w:sz w:val="24"/>
          <w:szCs w:val="24"/>
        </w:rPr>
        <w:t>Money that will be held for longer terms is invested more widely</w:t>
      </w:r>
      <w:r w:rsidR="003D341B" w:rsidRPr="003B03A8">
        <w:rPr>
          <w:rFonts w:ascii="Arial" w:hAnsi="Arial" w:cs="Arial"/>
          <w:sz w:val="24"/>
          <w:szCs w:val="24"/>
        </w:rPr>
        <w:t xml:space="preserve"> in funds inclu</w:t>
      </w:r>
      <w:r w:rsidR="009469D9" w:rsidRPr="003B03A8">
        <w:rPr>
          <w:rFonts w:ascii="Arial" w:hAnsi="Arial" w:cs="Arial"/>
          <w:sz w:val="24"/>
          <w:szCs w:val="24"/>
        </w:rPr>
        <w:t>ding in bonds</w:t>
      </w:r>
      <w:r w:rsidR="003D341B" w:rsidRPr="003B03A8">
        <w:rPr>
          <w:rFonts w:ascii="Arial" w:hAnsi="Arial" w:cs="Arial"/>
          <w:sz w:val="24"/>
          <w:szCs w:val="24"/>
        </w:rPr>
        <w:t xml:space="preserve"> and </w:t>
      </w:r>
      <w:r w:rsidR="009469D9" w:rsidRPr="003B03A8">
        <w:rPr>
          <w:rFonts w:ascii="Arial" w:hAnsi="Arial" w:cs="Arial"/>
          <w:sz w:val="24"/>
          <w:szCs w:val="24"/>
        </w:rPr>
        <w:t xml:space="preserve">shares, to balance the risk of loss against the risk of receiving returns below inflation. Both </w:t>
      </w:r>
      <w:r w:rsidR="00EE0C3F" w:rsidRPr="003B03A8">
        <w:rPr>
          <w:rFonts w:ascii="Arial" w:hAnsi="Arial" w:cs="Arial"/>
          <w:sz w:val="24"/>
          <w:szCs w:val="24"/>
        </w:rPr>
        <w:t>short</w:t>
      </w:r>
      <w:r w:rsidR="009469D9" w:rsidRPr="003B03A8">
        <w:rPr>
          <w:rFonts w:ascii="Arial" w:hAnsi="Arial" w:cs="Arial"/>
          <w:sz w:val="24"/>
          <w:szCs w:val="24"/>
        </w:rPr>
        <w:t xml:space="preserve">-term and longer-term investments may be </w:t>
      </w:r>
      <w:r w:rsidR="00967145" w:rsidRPr="003B03A8">
        <w:rPr>
          <w:rFonts w:ascii="Arial" w:hAnsi="Arial" w:cs="Arial"/>
          <w:sz w:val="24"/>
          <w:szCs w:val="24"/>
        </w:rPr>
        <w:t>held</w:t>
      </w:r>
      <w:r w:rsidR="009469D9" w:rsidRPr="003B03A8">
        <w:rPr>
          <w:rFonts w:ascii="Arial" w:hAnsi="Arial" w:cs="Arial"/>
          <w:sz w:val="24"/>
          <w:szCs w:val="24"/>
        </w:rPr>
        <w:t xml:space="preserve"> in pooled funds, where an external fund manager makes decisions on which particular investments to buy</w:t>
      </w:r>
      <w:r w:rsidR="0073332F" w:rsidRPr="003B03A8">
        <w:rPr>
          <w:rFonts w:ascii="Arial" w:hAnsi="Arial" w:cs="Arial"/>
          <w:sz w:val="24"/>
          <w:szCs w:val="24"/>
        </w:rPr>
        <w:t xml:space="preserve"> </w:t>
      </w:r>
      <w:r w:rsidR="009469D9" w:rsidRPr="003B03A8">
        <w:rPr>
          <w:rFonts w:ascii="Arial" w:hAnsi="Arial" w:cs="Arial"/>
          <w:sz w:val="24"/>
          <w:szCs w:val="24"/>
        </w:rPr>
        <w:t xml:space="preserve">and the Council may request its </w:t>
      </w:r>
      <w:r w:rsidR="00967145" w:rsidRPr="003B03A8">
        <w:rPr>
          <w:rFonts w:ascii="Arial" w:hAnsi="Arial" w:cs="Arial"/>
          <w:sz w:val="24"/>
          <w:szCs w:val="24"/>
        </w:rPr>
        <w:t>money</w:t>
      </w:r>
      <w:r w:rsidR="009469D9" w:rsidRPr="003B03A8">
        <w:rPr>
          <w:rFonts w:ascii="Arial" w:hAnsi="Arial" w:cs="Arial"/>
          <w:sz w:val="24"/>
          <w:szCs w:val="24"/>
        </w:rPr>
        <w:t xml:space="preserve"> back at short notice.</w:t>
      </w:r>
    </w:p>
    <w:p w14:paraId="3D323F24" w14:textId="77777777" w:rsidR="003B03A8" w:rsidRPr="003B03A8" w:rsidRDefault="003B03A8" w:rsidP="00EE05DD">
      <w:pPr>
        <w:pStyle w:val="ListParagraph"/>
        <w:spacing w:after="200" w:line="276" w:lineRule="auto"/>
        <w:ind w:left="709" w:hanging="709"/>
        <w:jc w:val="both"/>
        <w:rPr>
          <w:rFonts w:ascii="Arial" w:hAnsi="Arial" w:cs="Arial"/>
          <w:sz w:val="24"/>
          <w:szCs w:val="24"/>
        </w:rPr>
      </w:pPr>
    </w:p>
    <w:p w14:paraId="03368FB9" w14:textId="5E2029D5" w:rsidR="003B03A8" w:rsidRPr="003B03A8" w:rsidRDefault="00BC5E08" w:rsidP="00EE05DD">
      <w:pPr>
        <w:pStyle w:val="ListParagraph"/>
        <w:numPr>
          <w:ilvl w:val="0"/>
          <w:numId w:val="16"/>
        </w:numPr>
        <w:spacing w:after="200" w:line="276" w:lineRule="auto"/>
        <w:jc w:val="both"/>
        <w:rPr>
          <w:rFonts w:ascii="Arial" w:hAnsi="Arial" w:cs="Arial"/>
          <w:sz w:val="24"/>
          <w:szCs w:val="24"/>
        </w:rPr>
      </w:pPr>
      <w:r>
        <w:rPr>
          <w:rFonts w:ascii="Arial" w:hAnsi="Arial" w:cs="Arial"/>
          <w:sz w:val="24"/>
          <w:szCs w:val="24"/>
        </w:rPr>
        <w:t xml:space="preserve">The Council will aim to hold a level of short-term investment balances which are not excessive, but will ensure sufficient liquidity to manage the day-to-day activities of the Council. </w:t>
      </w:r>
      <w:r w:rsidR="008A3373">
        <w:rPr>
          <w:rFonts w:ascii="Arial" w:hAnsi="Arial" w:cs="Arial"/>
          <w:sz w:val="24"/>
          <w:szCs w:val="24"/>
        </w:rPr>
        <w:t>Shorter-term</w:t>
      </w:r>
      <w:r>
        <w:rPr>
          <w:rFonts w:ascii="Arial" w:hAnsi="Arial" w:cs="Arial"/>
          <w:sz w:val="24"/>
          <w:szCs w:val="24"/>
        </w:rPr>
        <w:t xml:space="preserve"> investments are forecast at £</w:t>
      </w:r>
      <w:r w:rsidR="008A3373">
        <w:rPr>
          <w:rFonts w:ascii="Arial" w:hAnsi="Arial" w:cs="Arial"/>
          <w:sz w:val="24"/>
          <w:szCs w:val="24"/>
        </w:rPr>
        <w:t>30</w:t>
      </w:r>
      <w:r>
        <w:rPr>
          <w:rFonts w:ascii="Arial" w:hAnsi="Arial" w:cs="Arial"/>
          <w:sz w:val="24"/>
          <w:szCs w:val="24"/>
        </w:rPr>
        <w:t>m over the next 5 years</w:t>
      </w:r>
      <w:r w:rsidR="003B03A8">
        <w:rPr>
          <w:rFonts w:ascii="Arial" w:hAnsi="Arial" w:cs="Arial"/>
          <w:sz w:val="24"/>
          <w:szCs w:val="24"/>
        </w:rPr>
        <w:t>.</w:t>
      </w:r>
    </w:p>
    <w:p w14:paraId="6715C101" w14:textId="65F3FCA2" w:rsidR="00BC5E08" w:rsidRDefault="00BC5E08" w:rsidP="00EE05DD">
      <w:pPr>
        <w:pStyle w:val="ListParagraph"/>
        <w:spacing w:after="200" w:line="276" w:lineRule="auto"/>
        <w:ind w:left="360"/>
        <w:jc w:val="both"/>
        <w:rPr>
          <w:rFonts w:ascii="Arial" w:hAnsi="Arial" w:cs="Arial"/>
          <w:sz w:val="24"/>
          <w:szCs w:val="24"/>
        </w:rPr>
      </w:pPr>
    </w:p>
    <w:p w14:paraId="0B85C344" w14:textId="5C2FC351" w:rsidR="009469D9" w:rsidRDefault="009469D9" w:rsidP="00EE05DD">
      <w:pPr>
        <w:pStyle w:val="ListParagraph"/>
        <w:numPr>
          <w:ilvl w:val="0"/>
          <w:numId w:val="16"/>
        </w:numPr>
        <w:spacing w:after="200" w:line="276" w:lineRule="auto"/>
        <w:jc w:val="both"/>
        <w:rPr>
          <w:rFonts w:ascii="Arial" w:hAnsi="Arial" w:cs="Arial"/>
          <w:sz w:val="24"/>
          <w:szCs w:val="24"/>
        </w:rPr>
      </w:pPr>
      <w:r w:rsidRPr="00D85345">
        <w:rPr>
          <w:rFonts w:ascii="Arial" w:hAnsi="Arial" w:cs="Arial"/>
          <w:sz w:val="24"/>
          <w:szCs w:val="24"/>
        </w:rPr>
        <w:t xml:space="preserve">Further details on </w:t>
      </w:r>
      <w:r w:rsidR="00025E6A" w:rsidRPr="00D85345">
        <w:rPr>
          <w:rFonts w:ascii="Arial" w:hAnsi="Arial" w:cs="Arial"/>
          <w:sz w:val="24"/>
          <w:szCs w:val="24"/>
        </w:rPr>
        <w:t xml:space="preserve">treasury </w:t>
      </w:r>
      <w:r w:rsidRPr="00D85345">
        <w:rPr>
          <w:rFonts w:ascii="Arial" w:hAnsi="Arial" w:cs="Arial"/>
          <w:sz w:val="24"/>
          <w:szCs w:val="24"/>
        </w:rPr>
        <w:t>investment</w:t>
      </w:r>
      <w:r w:rsidR="00025E6A" w:rsidRPr="00D85345">
        <w:rPr>
          <w:rFonts w:ascii="Arial" w:hAnsi="Arial" w:cs="Arial"/>
          <w:sz w:val="24"/>
          <w:szCs w:val="24"/>
        </w:rPr>
        <w:t>s</w:t>
      </w:r>
      <w:r w:rsidRPr="00D85345">
        <w:rPr>
          <w:rFonts w:ascii="Arial" w:hAnsi="Arial" w:cs="Arial"/>
          <w:sz w:val="24"/>
          <w:szCs w:val="24"/>
        </w:rPr>
        <w:t xml:space="preserve"> </w:t>
      </w:r>
      <w:r w:rsidR="00036DE4" w:rsidRPr="00D85345">
        <w:rPr>
          <w:rFonts w:ascii="Arial" w:hAnsi="Arial" w:cs="Arial"/>
          <w:sz w:val="24"/>
          <w:szCs w:val="24"/>
        </w:rPr>
        <w:t>can be found in the T</w:t>
      </w:r>
      <w:r w:rsidRPr="00D85345">
        <w:rPr>
          <w:rFonts w:ascii="Arial" w:hAnsi="Arial" w:cs="Arial"/>
          <w:sz w:val="24"/>
          <w:szCs w:val="24"/>
        </w:rPr>
        <w:t xml:space="preserve">reasury </w:t>
      </w:r>
      <w:r w:rsidR="00036DE4" w:rsidRPr="00D85345">
        <w:rPr>
          <w:rFonts w:ascii="Arial" w:hAnsi="Arial" w:cs="Arial"/>
          <w:sz w:val="24"/>
          <w:szCs w:val="24"/>
        </w:rPr>
        <w:t>M</w:t>
      </w:r>
      <w:r w:rsidRPr="00D85345">
        <w:rPr>
          <w:rFonts w:ascii="Arial" w:hAnsi="Arial" w:cs="Arial"/>
          <w:sz w:val="24"/>
          <w:szCs w:val="24"/>
        </w:rPr>
        <w:t xml:space="preserve">anagement </w:t>
      </w:r>
      <w:r w:rsidR="00036DE4" w:rsidRPr="00D85345">
        <w:rPr>
          <w:rFonts w:ascii="Arial" w:hAnsi="Arial" w:cs="Arial"/>
          <w:sz w:val="24"/>
          <w:szCs w:val="24"/>
        </w:rPr>
        <w:t>S</w:t>
      </w:r>
      <w:r w:rsidRPr="00D85345">
        <w:rPr>
          <w:rFonts w:ascii="Arial" w:hAnsi="Arial" w:cs="Arial"/>
          <w:sz w:val="24"/>
          <w:szCs w:val="24"/>
        </w:rPr>
        <w:t>trategy</w:t>
      </w:r>
      <w:r w:rsidR="00036DE4" w:rsidRPr="00D85345">
        <w:rPr>
          <w:rFonts w:ascii="Arial" w:hAnsi="Arial" w:cs="Arial"/>
          <w:sz w:val="24"/>
          <w:szCs w:val="24"/>
        </w:rPr>
        <w:t>.</w:t>
      </w:r>
    </w:p>
    <w:p w14:paraId="2F64ECEB" w14:textId="77777777" w:rsidR="003B03A8" w:rsidRPr="00D85345" w:rsidRDefault="003B03A8" w:rsidP="00EE05DD">
      <w:pPr>
        <w:pStyle w:val="ListParagraph"/>
        <w:spacing w:after="200" w:line="276" w:lineRule="auto"/>
        <w:ind w:left="709" w:hanging="709"/>
        <w:jc w:val="both"/>
        <w:rPr>
          <w:rFonts w:ascii="Arial" w:hAnsi="Arial" w:cs="Arial"/>
          <w:sz w:val="24"/>
          <w:szCs w:val="24"/>
        </w:rPr>
      </w:pPr>
    </w:p>
    <w:p w14:paraId="0E3B1238" w14:textId="323EF1EA" w:rsidR="00C86ED5" w:rsidRDefault="00967145" w:rsidP="00EE05DD">
      <w:pPr>
        <w:pStyle w:val="ListParagraph"/>
        <w:numPr>
          <w:ilvl w:val="0"/>
          <w:numId w:val="16"/>
        </w:numPr>
        <w:spacing w:after="200" w:line="276" w:lineRule="auto"/>
        <w:jc w:val="both"/>
        <w:rPr>
          <w:rFonts w:ascii="Arial" w:hAnsi="Arial" w:cs="Arial"/>
          <w:sz w:val="24"/>
          <w:szCs w:val="24"/>
        </w:rPr>
      </w:pPr>
      <w:r w:rsidRPr="00D85345">
        <w:rPr>
          <w:rFonts w:ascii="Arial" w:hAnsi="Arial" w:cs="Arial"/>
          <w:sz w:val="24"/>
          <w:szCs w:val="24"/>
        </w:rPr>
        <w:lastRenderedPageBreak/>
        <w:t xml:space="preserve">Decisions on treasury management investment and borrowing are made daily and are therefore delegated to the Director of Finance and staff, who must act in line with </w:t>
      </w:r>
      <w:r w:rsidR="00C86ED5" w:rsidRPr="00D85345">
        <w:rPr>
          <w:rFonts w:ascii="Arial" w:hAnsi="Arial" w:cs="Arial"/>
          <w:sz w:val="24"/>
          <w:szCs w:val="24"/>
        </w:rPr>
        <w:t>the treasury management strategy. The treasury management strategy statement is agreed by Cabinet in February prior to agreement at full Council before the start of each financial year. Amendments to the treasury management strategy during the year are only done with Cabinet approval</w:t>
      </w:r>
      <w:r w:rsidR="003B03A8">
        <w:rPr>
          <w:rFonts w:ascii="Arial" w:hAnsi="Arial" w:cs="Arial"/>
          <w:sz w:val="24"/>
          <w:szCs w:val="24"/>
        </w:rPr>
        <w:t>.</w:t>
      </w:r>
    </w:p>
    <w:p w14:paraId="3F14727E" w14:textId="77777777" w:rsidR="003B03A8" w:rsidRPr="00D85345" w:rsidRDefault="003B03A8" w:rsidP="00EE05DD">
      <w:pPr>
        <w:pStyle w:val="ListParagraph"/>
        <w:spacing w:after="200" w:line="276" w:lineRule="auto"/>
        <w:ind w:left="360"/>
        <w:jc w:val="both"/>
        <w:rPr>
          <w:rFonts w:ascii="Arial" w:hAnsi="Arial" w:cs="Arial"/>
          <w:sz w:val="24"/>
          <w:szCs w:val="24"/>
        </w:rPr>
      </w:pPr>
    </w:p>
    <w:p w14:paraId="4A27243F" w14:textId="1CB2F79F" w:rsidR="00C86ED5" w:rsidRDefault="00C86ED5" w:rsidP="00EE05DD">
      <w:pPr>
        <w:pStyle w:val="ListParagraph"/>
        <w:numPr>
          <w:ilvl w:val="0"/>
          <w:numId w:val="16"/>
        </w:numPr>
        <w:spacing w:after="200" w:line="276" w:lineRule="auto"/>
        <w:jc w:val="both"/>
        <w:rPr>
          <w:rFonts w:ascii="Arial" w:hAnsi="Arial" w:cs="Arial"/>
          <w:sz w:val="24"/>
          <w:szCs w:val="24"/>
        </w:rPr>
      </w:pPr>
      <w:r w:rsidRPr="00D85345">
        <w:rPr>
          <w:rFonts w:ascii="Arial" w:hAnsi="Arial" w:cs="Arial"/>
          <w:sz w:val="24"/>
          <w:szCs w:val="24"/>
        </w:rPr>
        <w:t>Treasury activity is monitored and reported to senior management on a daily and weekly basis. Monthly reports on treasury management activity, including compliance with prudential indicators, are provided to Cabinet as part of the budget monitoring process.</w:t>
      </w:r>
    </w:p>
    <w:p w14:paraId="2AB0624D" w14:textId="77777777" w:rsidR="00016577" w:rsidRDefault="00016577" w:rsidP="00EE05DD">
      <w:pPr>
        <w:pStyle w:val="ListParagraph"/>
        <w:spacing w:before="400" w:after="200" w:line="276" w:lineRule="auto"/>
        <w:ind w:left="360" w:hanging="360"/>
        <w:jc w:val="both"/>
        <w:rPr>
          <w:rFonts w:ascii="Arial" w:hAnsi="Arial" w:cs="Arial"/>
          <w:sz w:val="24"/>
          <w:szCs w:val="24"/>
        </w:rPr>
      </w:pPr>
    </w:p>
    <w:p w14:paraId="4F82767B" w14:textId="0AD4761F" w:rsidR="009F7469" w:rsidRPr="00016577" w:rsidRDefault="009F7469" w:rsidP="00EE05DD">
      <w:pPr>
        <w:pStyle w:val="ListParagraph"/>
        <w:spacing w:before="400" w:after="200" w:line="276" w:lineRule="auto"/>
        <w:ind w:left="360" w:hanging="360"/>
        <w:jc w:val="both"/>
        <w:rPr>
          <w:rFonts w:ascii="Arial" w:hAnsi="Arial" w:cs="Arial"/>
          <w:b/>
          <w:sz w:val="24"/>
          <w:szCs w:val="24"/>
        </w:rPr>
      </w:pPr>
      <w:r w:rsidRPr="00016577">
        <w:rPr>
          <w:rFonts w:ascii="Arial" w:hAnsi="Arial" w:cs="Arial"/>
          <w:b/>
          <w:sz w:val="24"/>
          <w:szCs w:val="24"/>
        </w:rPr>
        <w:t>Use of Commercial Investments</w:t>
      </w:r>
    </w:p>
    <w:p w14:paraId="08F0C6B8" w14:textId="77777777" w:rsidR="005E1B73" w:rsidRDefault="005E1B73" w:rsidP="00EE05DD">
      <w:pPr>
        <w:pStyle w:val="ListParagraph"/>
        <w:spacing w:before="400" w:after="200" w:line="276" w:lineRule="auto"/>
        <w:ind w:left="360" w:hanging="360"/>
        <w:jc w:val="both"/>
        <w:rPr>
          <w:rFonts w:ascii="Arial" w:hAnsi="Arial" w:cs="Arial"/>
          <w:sz w:val="24"/>
          <w:szCs w:val="24"/>
          <w:highlight w:val="yellow"/>
        </w:rPr>
      </w:pPr>
    </w:p>
    <w:p w14:paraId="370F8308" w14:textId="5EF75770" w:rsidR="009F7469" w:rsidRPr="00016577" w:rsidRDefault="00DC3952" w:rsidP="00EE05DD">
      <w:pPr>
        <w:pStyle w:val="ListParagraph"/>
        <w:numPr>
          <w:ilvl w:val="0"/>
          <w:numId w:val="16"/>
        </w:numPr>
        <w:spacing w:before="400" w:after="200" w:line="276" w:lineRule="auto"/>
        <w:jc w:val="both"/>
        <w:rPr>
          <w:rFonts w:ascii="Arial" w:eastAsia="Times New Roman" w:hAnsi="Arial" w:cs="Arial"/>
          <w:b/>
          <w:bCs/>
          <w:color w:val="000000"/>
          <w:sz w:val="24"/>
          <w:szCs w:val="24"/>
          <w:lang w:eastAsia="en-GB"/>
        </w:rPr>
      </w:pPr>
      <w:r w:rsidRPr="00016577">
        <w:rPr>
          <w:rFonts w:ascii="Arial" w:hAnsi="Arial" w:cs="Arial"/>
          <w:sz w:val="24"/>
          <w:szCs w:val="24"/>
        </w:rPr>
        <w:t xml:space="preserve">The Council approved its Investment Property Strategy  in December 2015.  The strategy allowed the acquisition of an investment property portfolio at a total cost not to exceed £20m with no single purchase to exceed £5m. </w:t>
      </w:r>
      <w:r w:rsidR="007D378A" w:rsidRPr="00016577">
        <w:rPr>
          <w:rFonts w:ascii="Arial" w:hAnsi="Arial" w:cs="Arial"/>
          <w:sz w:val="24"/>
          <w:szCs w:val="24"/>
        </w:rPr>
        <w:t>Under this strategy the Council have acquired 4 commercial investments at a cost of £17m</w:t>
      </w:r>
      <w:r w:rsidR="007D378A">
        <w:rPr>
          <w:rFonts w:ascii="Arial" w:hAnsi="Arial" w:cs="Arial"/>
          <w:sz w:val="24"/>
          <w:szCs w:val="24"/>
        </w:rPr>
        <w:t>.</w:t>
      </w:r>
      <w:r w:rsidR="007D378A" w:rsidRPr="00016577">
        <w:rPr>
          <w:rFonts w:ascii="Arial" w:hAnsi="Arial" w:cs="Arial"/>
          <w:sz w:val="24"/>
          <w:szCs w:val="24"/>
        </w:rPr>
        <w:t xml:space="preserve">  A £700k net income contribution is included in the budget. </w:t>
      </w:r>
      <w:r w:rsidR="009F7469" w:rsidRPr="00016577">
        <w:rPr>
          <w:rFonts w:ascii="Arial" w:hAnsi="Arial" w:cs="Arial"/>
          <w:sz w:val="24"/>
          <w:szCs w:val="24"/>
        </w:rPr>
        <w:t xml:space="preserve">The Council approved  a further £25m capital programme </w:t>
      </w:r>
      <w:r w:rsidR="009F7469" w:rsidRPr="00016577">
        <w:rPr>
          <w:rFonts w:ascii="Arial" w:eastAsia="Times New Roman" w:hAnsi="Arial" w:cs="Arial"/>
          <w:sz w:val="24"/>
          <w:szCs w:val="24"/>
          <w:lang w:eastAsia="en-GB"/>
        </w:rPr>
        <w:t xml:space="preserve"> investment in commercial properties on the basis that a revenue stream is provided to support the revenue budget from commercial property rents</w:t>
      </w:r>
    </w:p>
    <w:p w14:paraId="41BDC8A4" w14:textId="77777777" w:rsidR="00DC3952" w:rsidRPr="00016577" w:rsidRDefault="00DC3952" w:rsidP="00EE05DD">
      <w:pPr>
        <w:pStyle w:val="ListParagraph"/>
        <w:spacing w:after="200" w:line="276" w:lineRule="auto"/>
        <w:ind w:left="360"/>
        <w:jc w:val="both"/>
        <w:rPr>
          <w:rFonts w:ascii="Arial" w:hAnsi="Arial" w:cs="Arial"/>
          <w:sz w:val="24"/>
          <w:szCs w:val="24"/>
        </w:rPr>
      </w:pPr>
    </w:p>
    <w:p w14:paraId="3FA90BC4" w14:textId="418FF3F1" w:rsidR="00BD56BC" w:rsidRPr="00016577" w:rsidRDefault="00DC3952" w:rsidP="00EE05DD">
      <w:pPr>
        <w:pStyle w:val="ListParagraph"/>
        <w:numPr>
          <w:ilvl w:val="0"/>
          <w:numId w:val="16"/>
        </w:numPr>
        <w:spacing w:after="200" w:line="276" w:lineRule="auto"/>
        <w:jc w:val="both"/>
        <w:rPr>
          <w:rFonts w:ascii="Arial" w:hAnsi="Arial" w:cs="Arial"/>
          <w:sz w:val="24"/>
          <w:szCs w:val="24"/>
        </w:rPr>
      </w:pPr>
      <w:r w:rsidRPr="00016577">
        <w:rPr>
          <w:rFonts w:ascii="Arial" w:hAnsi="Arial" w:cs="Arial"/>
          <w:sz w:val="24"/>
          <w:szCs w:val="24"/>
        </w:rPr>
        <w:t>The income target from the commercial portfolio makes up less than 5% of the Council’s revenue budget and therefore the risk can be considered to be</w:t>
      </w:r>
      <w:r w:rsidR="00921364">
        <w:rPr>
          <w:rFonts w:ascii="Arial" w:hAnsi="Arial" w:cs="Arial"/>
          <w:sz w:val="24"/>
          <w:szCs w:val="24"/>
        </w:rPr>
        <w:t xml:space="preserve"> minimal and proportionate </w:t>
      </w:r>
      <w:r w:rsidR="00F74F1C" w:rsidRPr="00016577">
        <w:rPr>
          <w:rFonts w:ascii="Arial" w:hAnsi="Arial" w:cs="Arial"/>
          <w:sz w:val="24"/>
          <w:szCs w:val="24"/>
        </w:rPr>
        <w:t xml:space="preserve"> </w:t>
      </w:r>
    </w:p>
    <w:p w14:paraId="67A87C6A" w14:textId="1B684847" w:rsidR="001D17CF" w:rsidRPr="003B03A8" w:rsidRDefault="001D17CF" w:rsidP="00EE05DD">
      <w:pPr>
        <w:spacing w:before="400" w:after="200" w:line="276" w:lineRule="auto"/>
        <w:jc w:val="both"/>
        <w:rPr>
          <w:rFonts w:ascii="Arial" w:hAnsi="Arial" w:cs="Arial"/>
          <w:b/>
          <w:sz w:val="24"/>
          <w:szCs w:val="24"/>
        </w:rPr>
      </w:pPr>
      <w:r w:rsidRPr="003B03A8">
        <w:rPr>
          <w:rFonts w:ascii="Arial" w:hAnsi="Arial" w:cs="Arial"/>
          <w:b/>
          <w:sz w:val="24"/>
          <w:szCs w:val="24"/>
        </w:rPr>
        <w:t>Liabilities</w:t>
      </w:r>
    </w:p>
    <w:p w14:paraId="0AA9880A" w14:textId="05FB3546" w:rsidR="001D17CF" w:rsidRPr="00E722FA" w:rsidRDefault="001D17CF" w:rsidP="00EE05DD">
      <w:pPr>
        <w:pStyle w:val="ListParagraph"/>
        <w:numPr>
          <w:ilvl w:val="0"/>
          <w:numId w:val="16"/>
        </w:numPr>
        <w:spacing w:after="200" w:line="276" w:lineRule="auto"/>
        <w:jc w:val="both"/>
        <w:rPr>
          <w:rFonts w:ascii="Arial" w:hAnsi="Arial" w:cs="Arial"/>
          <w:sz w:val="24"/>
          <w:szCs w:val="24"/>
        </w:rPr>
      </w:pPr>
      <w:r w:rsidRPr="00E722FA">
        <w:rPr>
          <w:rFonts w:ascii="Arial" w:hAnsi="Arial" w:cs="Arial"/>
          <w:sz w:val="24"/>
          <w:szCs w:val="24"/>
        </w:rPr>
        <w:t>In addition to</w:t>
      </w:r>
      <w:r w:rsidR="00112CEC">
        <w:rPr>
          <w:rFonts w:ascii="Arial" w:hAnsi="Arial" w:cs="Arial"/>
          <w:sz w:val="24"/>
          <w:szCs w:val="24"/>
        </w:rPr>
        <w:t xml:space="preserve"> long term </w:t>
      </w:r>
      <w:r w:rsidR="005E1B73" w:rsidRPr="00E722FA">
        <w:rPr>
          <w:rFonts w:ascii="Arial" w:hAnsi="Arial" w:cs="Arial"/>
          <w:sz w:val="24"/>
          <w:szCs w:val="24"/>
        </w:rPr>
        <w:t>debt detailed</w:t>
      </w:r>
      <w:r w:rsidRPr="00E722FA">
        <w:rPr>
          <w:rFonts w:ascii="Arial" w:hAnsi="Arial" w:cs="Arial"/>
          <w:sz w:val="24"/>
          <w:szCs w:val="24"/>
        </w:rPr>
        <w:t xml:space="preserve"> above, the Council is committed to making future payments </w:t>
      </w:r>
      <w:r w:rsidR="00596572" w:rsidRPr="00E722FA">
        <w:rPr>
          <w:rFonts w:ascii="Arial" w:hAnsi="Arial" w:cs="Arial"/>
          <w:sz w:val="24"/>
          <w:szCs w:val="24"/>
        </w:rPr>
        <w:t>to cover its pension fund deficit</w:t>
      </w:r>
      <w:r w:rsidR="00356D12">
        <w:rPr>
          <w:rFonts w:ascii="Arial" w:hAnsi="Arial" w:cs="Arial"/>
          <w:sz w:val="24"/>
          <w:szCs w:val="24"/>
        </w:rPr>
        <w:t xml:space="preserve"> and has made </w:t>
      </w:r>
      <w:r w:rsidR="00673F1E" w:rsidRPr="00E722FA">
        <w:rPr>
          <w:rFonts w:ascii="Arial" w:hAnsi="Arial" w:cs="Arial"/>
          <w:sz w:val="24"/>
          <w:szCs w:val="24"/>
        </w:rPr>
        <w:t xml:space="preserve">provisions to cover risks such as insurance claims and non-domestic rates appeal losses. </w:t>
      </w:r>
      <w:r w:rsidR="0049237D" w:rsidRPr="00E722FA">
        <w:rPr>
          <w:rFonts w:ascii="Arial" w:hAnsi="Arial" w:cs="Arial"/>
          <w:sz w:val="24"/>
          <w:szCs w:val="24"/>
        </w:rPr>
        <w:t xml:space="preserve">The Council is also at risk of having to pay for </w:t>
      </w:r>
      <w:r w:rsidR="00673F1E" w:rsidRPr="00E722FA">
        <w:rPr>
          <w:rFonts w:ascii="Arial" w:hAnsi="Arial" w:cs="Arial"/>
          <w:sz w:val="24"/>
          <w:szCs w:val="24"/>
        </w:rPr>
        <w:t>claims following legal proceedings</w:t>
      </w:r>
      <w:r w:rsidR="0049237D" w:rsidRPr="00E722FA">
        <w:rPr>
          <w:rFonts w:ascii="Arial" w:hAnsi="Arial" w:cs="Arial"/>
          <w:sz w:val="24"/>
          <w:szCs w:val="24"/>
        </w:rPr>
        <w:t xml:space="preserve"> but has not put aside any money because </w:t>
      </w:r>
      <w:r w:rsidR="00673F1E" w:rsidRPr="00E722FA">
        <w:rPr>
          <w:rFonts w:ascii="Arial" w:hAnsi="Arial" w:cs="Arial"/>
          <w:sz w:val="24"/>
          <w:szCs w:val="24"/>
        </w:rPr>
        <w:t xml:space="preserve">the claims are denied and will be defended, and in some </w:t>
      </w:r>
      <w:r w:rsidR="00DA72AF" w:rsidRPr="00E722FA">
        <w:rPr>
          <w:rFonts w:ascii="Arial" w:hAnsi="Arial" w:cs="Arial"/>
          <w:sz w:val="24"/>
          <w:szCs w:val="24"/>
        </w:rPr>
        <w:t>instances,</w:t>
      </w:r>
      <w:r w:rsidR="00673F1E" w:rsidRPr="00E722FA">
        <w:rPr>
          <w:rFonts w:ascii="Arial" w:hAnsi="Arial" w:cs="Arial"/>
          <w:sz w:val="24"/>
          <w:szCs w:val="24"/>
        </w:rPr>
        <w:t xml:space="preserve"> counterclaims pursued</w:t>
      </w:r>
      <w:r w:rsidR="0049237D" w:rsidRPr="00E722FA">
        <w:rPr>
          <w:rFonts w:ascii="Arial" w:hAnsi="Arial" w:cs="Arial"/>
          <w:sz w:val="24"/>
          <w:szCs w:val="24"/>
        </w:rPr>
        <w:t>.</w:t>
      </w:r>
    </w:p>
    <w:p w14:paraId="5154105B" w14:textId="77777777" w:rsidR="00AD21E1" w:rsidRDefault="00AD21E1" w:rsidP="00EE05DD">
      <w:pPr>
        <w:spacing w:before="400" w:after="200" w:line="276" w:lineRule="auto"/>
        <w:jc w:val="both"/>
        <w:rPr>
          <w:rFonts w:ascii="Arial" w:hAnsi="Arial" w:cs="Arial"/>
          <w:b/>
          <w:sz w:val="24"/>
          <w:szCs w:val="24"/>
        </w:rPr>
      </w:pPr>
    </w:p>
    <w:p w14:paraId="5560A2B7" w14:textId="77777777" w:rsidR="00EE05DD" w:rsidRDefault="00EE05DD" w:rsidP="00EE05DD">
      <w:pPr>
        <w:spacing w:before="400" w:after="200" w:line="276" w:lineRule="auto"/>
        <w:jc w:val="both"/>
        <w:rPr>
          <w:rFonts w:ascii="Arial" w:hAnsi="Arial" w:cs="Arial"/>
          <w:b/>
          <w:sz w:val="24"/>
          <w:szCs w:val="24"/>
        </w:rPr>
      </w:pPr>
    </w:p>
    <w:p w14:paraId="07F2F006" w14:textId="77777777" w:rsidR="00924778" w:rsidRDefault="00924778" w:rsidP="00EE05DD">
      <w:pPr>
        <w:spacing w:before="400" w:after="200" w:line="276" w:lineRule="auto"/>
        <w:jc w:val="both"/>
        <w:rPr>
          <w:rFonts w:ascii="Arial" w:hAnsi="Arial" w:cs="Arial"/>
          <w:b/>
          <w:sz w:val="24"/>
          <w:szCs w:val="24"/>
        </w:rPr>
      </w:pPr>
    </w:p>
    <w:p w14:paraId="0DEEBC52" w14:textId="77777777" w:rsidR="00924778" w:rsidRDefault="00924778" w:rsidP="00EE05DD">
      <w:pPr>
        <w:spacing w:before="400" w:after="200" w:line="276" w:lineRule="auto"/>
        <w:jc w:val="both"/>
        <w:rPr>
          <w:rFonts w:ascii="Arial" w:hAnsi="Arial" w:cs="Arial"/>
          <w:b/>
          <w:sz w:val="24"/>
          <w:szCs w:val="24"/>
        </w:rPr>
      </w:pPr>
    </w:p>
    <w:p w14:paraId="1A9312E1" w14:textId="77777777" w:rsidR="00D97D1E" w:rsidRPr="003B03A8" w:rsidRDefault="00D97D1E" w:rsidP="00EE05DD">
      <w:pPr>
        <w:spacing w:before="400" w:after="200" w:line="276" w:lineRule="auto"/>
        <w:jc w:val="both"/>
        <w:rPr>
          <w:rFonts w:ascii="Arial" w:hAnsi="Arial" w:cs="Arial"/>
          <w:b/>
          <w:sz w:val="24"/>
          <w:szCs w:val="24"/>
        </w:rPr>
      </w:pPr>
      <w:r w:rsidRPr="003B03A8">
        <w:rPr>
          <w:rFonts w:ascii="Arial" w:hAnsi="Arial" w:cs="Arial"/>
          <w:b/>
          <w:sz w:val="24"/>
          <w:szCs w:val="24"/>
        </w:rPr>
        <w:lastRenderedPageBreak/>
        <w:t>Revenue Budget Implications</w:t>
      </w:r>
    </w:p>
    <w:p w14:paraId="0557ADF9" w14:textId="73FAC65B" w:rsidR="00D97D1E" w:rsidRPr="003B03A8" w:rsidRDefault="00D97D1E" w:rsidP="00EE05DD">
      <w:pPr>
        <w:pStyle w:val="ListParagraph"/>
        <w:numPr>
          <w:ilvl w:val="0"/>
          <w:numId w:val="16"/>
        </w:numPr>
        <w:spacing w:after="200" w:line="276" w:lineRule="auto"/>
        <w:jc w:val="both"/>
        <w:rPr>
          <w:rFonts w:ascii="Arial" w:hAnsi="Arial" w:cs="Arial"/>
          <w:sz w:val="24"/>
          <w:szCs w:val="24"/>
        </w:rPr>
      </w:pPr>
      <w:r w:rsidRPr="003B03A8">
        <w:rPr>
          <w:rFonts w:ascii="Arial" w:hAnsi="Arial" w:cs="Arial"/>
          <w:sz w:val="24"/>
          <w:szCs w:val="24"/>
        </w:rPr>
        <w:t xml:space="preserve">Although capital expenditure is not charged directly to the revenue budget, interest payable on loans and </w:t>
      </w:r>
      <w:r w:rsidRPr="00E722FA">
        <w:rPr>
          <w:rFonts w:ascii="Arial" w:hAnsi="Arial" w:cs="Arial"/>
          <w:sz w:val="24"/>
          <w:szCs w:val="24"/>
        </w:rPr>
        <w:t xml:space="preserve">MRP </w:t>
      </w:r>
      <w:r w:rsidRPr="003B03A8">
        <w:rPr>
          <w:rFonts w:ascii="Arial" w:hAnsi="Arial" w:cs="Arial"/>
          <w:sz w:val="24"/>
          <w:szCs w:val="24"/>
        </w:rPr>
        <w:t>are charged to revenue, offset by any investment income receivable. The net annual charge is known as financing costs; this is compared to the net revenue stream i.e. the amount funded from Council Tax, business rates and general government grants.</w:t>
      </w:r>
    </w:p>
    <w:p w14:paraId="6AE45165" w14:textId="33AE6368" w:rsidR="00D97D1E" w:rsidRPr="00EE05DD" w:rsidRDefault="00D97D1E" w:rsidP="00EE05DD">
      <w:pPr>
        <w:spacing w:after="200" w:line="276" w:lineRule="auto"/>
        <w:ind w:left="360"/>
        <w:contextualSpacing/>
        <w:jc w:val="both"/>
        <w:rPr>
          <w:rFonts w:ascii="Arial" w:hAnsi="Arial" w:cs="Arial"/>
          <w:b/>
          <w:sz w:val="24"/>
          <w:szCs w:val="24"/>
          <w:u w:val="single"/>
        </w:rPr>
      </w:pPr>
      <w:r w:rsidRPr="00EE05DD">
        <w:rPr>
          <w:rFonts w:ascii="Arial" w:hAnsi="Arial" w:cs="Arial"/>
          <w:b/>
          <w:sz w:val="24"/>
          <w:szCs w:val="24"/>
          <w:u w:val="single"/>
        </w:rPr>
        <w:t xml:space="preserve">Table </w:t>
      </w:r>
      <w:r w:rsidR="00EE05DD" w:rsidRPr="00EE05DD">
        <w:rPr>
          <w:rFonts w:ascii="Arial" w:hAnsi="Arial" w:cs="Arial"/>
          <w:b/>
          <w:sz w:val="24"/>
          <w:szCs w:val="24"/>
          <w:u w:val="single"/>
        </w:rPr>
        <w:t>6</w:t>
      </w:r>
      <w:r w:rsidRPr="00EE05DD">
        <w:rPr>
          <w:rFonts w:ascii="Arial" w:hAnsi="Arial" w:cs="Arial"/>
          <w:b/>
          <w:sz w:val="24"/>
          <w:szCs w:val="24"/>
          <w:u w:val="single"/>
        </w:rPr>
        <w:t>: Prudential Indicator: Proportion of financing costs to net revenue stream</w:t>
      </w:r>
    </w:p>
    <w:tbl>
      <w:tblPr>
        <w:tblStyle w:val="TableGrid"/>
        <w:tblW w:w="6796" w:type="dxa"/>
        <w:tblInd w:w="360" w:type="dxa"/>
        <w:tblLook w:val="04A0" w:firstRow="1" w:lastRow="0" w:firstColumn="1" w:lastColumn="0" w:noHBand="0" w:noVBand="1"/>
      </w:tblPr>
      <w:tblGrid>
        <w:gridCol w:w="1965"/>
        <w:gridCol w:w="1208"/>
        <w:gridCol w:w="1209"/>
        <w:gridCol w:w="1207"/>
        <w:gridCol w:w="1207"/>
      </w:tblGrid>
      <w:tr w:rsidR="008003A0" w:rsidRPr="00D85345" w14:paraId="4738D49A" w14:textId="6E4E1EE1" w:rsidTr="008003A0">
        <w:tc>
          <w:tcPr>
            <w:tcW w:w="1965" w:type="dxa"/>
            <w:shd w:val="clear" w:color="auto" w:fill="BFBFBF" w:themeFill="background1" w:themeFillShade="BF"/>
            <w:vAlign w:val="center"/>
          </w:tcPr>
          <w:p w14:paraId="21E716AE" w14:textId="77777777" w:rsidR="008003A0" w:rsidRPr="00B13556" w:rsidRDefault="008003A0" w:rsidP="00EE05DD">
            <w:pPr>
              <w:spacing w:before="60" w:after="60" w:line="276" w:lineRule="auto"/>
              <w:jc w:val="both"/>
              <w:rPr>
                <w:rFonts w:ascii="Arial" w:hAnsi="Arial" w:cs="Arial"/>
              </w:rPr>
            </w:pPr>
          </w:p>
        </w:tc>
        <w:tc>
          <w:tcPr>
            <w:tcW w:w="1208" w:type="dxa"/>
            <w:shd w:val="clear" w:color="auto" w:fill="BFBFBF" w:themeFill="background1" w:themeFillShade="BF"/>
            <w:vAlign w:val="center"/>
          </w:tcPr>
          <w:p w14:paraId="395DC690" w14:textId="77777777" w:rsidR="008003A0" w:rsidRPr="00B13556" w:rsidRDefault="008003A0" w:rsidP="00EE05DD">
            <w:pPr>
              <w:spacing w:before="60" w:after="60" w:line="276" w:lineRule="auto"/>
              <w:jc w:val="both"/>
              <w:rPr>
                <w:rFonts w:ascii="Arial" w:hAnsi="Arial" w:cs="Arial"/>
                <w:b/>
              </w:rPr>
            </w:pPr>
            <w:r w:rsidRPr="00B13556">
              <w:rPr>
                <w:rFonts w:ascii="Arial" w:hAnsi="Arial" w:cs="Arial"/>
                <w:b/>
              </w:rPr>
              <w:t>2017/18 actual</w:t>
            </w:r>
          </w:p>
        </w:tc>
        <w:tc>
          <w:tcPr>
            <w:tcW w:w="1209" w:type="dxa"/>
            <w:shd w:val="clear" w:color="auto" w:fill="BFBFBF" w:themeFill="background1" w:themeFillShade="BF"/>
            <w:vAlign w:val="center"/>
          </w:tcPr>
          <w:p w14:paraId="5D974260" w14:textId="77777777" w:rsidR="008003A0" w:rsidRPr="00B13556" w:rsidRDefault="008003A0" w:rsidP="00EE05DD">
            <w:pPr>
              <w:spacing w:before="60" w:after="60" w:line="276" w:lineRule="auto"/>
              <w:jc w:val="both"/>
              <w:rPr>
                <w:rFonts w:ascii="Arial" w:hAnsi="Arial" w:cs="Arial"/>
                <w:b/>
              </w:rPr>
            </w:pPr>
            <w:r w:rsidRPr="00B13556">
              <w:rPr>
                <w:rFonts w:ascii="Arial" w:hAnsi="Arial" w:cs="Arial"/>
                <w:b/>
              </w:rPr>
              <w:t>2018/19 forecast</w:t>
            </w:r>
          </w:p>
        </w:tc>
        <w:tc>
          <w:tcPr>
            <w:tcW w:w="1207" w:type="dxa"/>
            <w:shd w:val="clear" w:color="auto" w:fill="BFBFBF" w:themeFill="background1" w:themeFillShade="BF"/>
            <w:vAlign w:val="center"/>
          </w:tcPr>
          <w:p w14:paraId="0EDA4255" w14:textId="77777777" w:rsidR="008003A0" w:rsidRPr="00B13556" w:rsidRDefault="008003A0" w:rsidP="00EE05DD">
            <w:pPr>
              <w:spacing w:before="60" w:after="60" w:line="276" w:lineRule="auto"/>
              <w:jc w:val="both"/>
              <w:rPr>
                <w:rFonts w:ascii="Arial" w:hAnsi="Arial" w:cs="Arial"/>
                <w:b/>
              </w:rPr>
            </w:pPr>
            <w:r w:rsidRPr="00B13556">
              <w:rPr>
                <w:rFonts w:ascii="Arial" w:hAnsi="Arial" w:cs="Arial"/>
                <w:b/>
              </w:rPr>
              <w:t>2019/20 budget</w:t>
            </w:r>
          </w:p>
        </w:tc>
        <w:tc>
          <w:tcPr>
            <w:tcW w:w="1207" w:type="dxa"/>
            <w:shd w:val="clear" w:color="auto" w:fill="BFBFBF" w:themeFill="background1" w:themeFillShade="BF"/>
            <w:vAlign w:val="center"/>
          </w:tcPr>
          <w:p w14:paraId="662F681B" w14:textId="77777777" w:rsidR="008003A0" w:rsidRPr="00B13556" w:rsidRDefault="008003A0" w:rsidP="00EE05DD">
            <w:pPr>
              <w:spacing w:before="60" w:after="60" w:line="276" w:lineRule="auto"/>
              <w:jc w:val="both"/>
              <w:rPr>
                <w:rFonts w:ascii="Arial" w:hAnsi="Arial" w:cs="Arial"/>
                <w:b/>
              </w:rPr>
            </w:pPr>
            <w:r w:rsidRPr="00B13556">
              <w:rPr>
                <w:rFonts w:ascii="Arial" w:hAnsi="Arial" w:cs="Arial"/>
                <w:b/>
              </w:rPr>
              <w:t>2020/21 budget</w:t>
            </w:r>
          </w:p>
        </w:tc>
      </w:tr>
      <w:tr w:rsidR="008003A0" w:rsidRPr="00D85345" w14:paraId="1FD254D9" w14:textId="111197DB" w:rsidTr="008003A0">
        <w:tc>
          <w:tcPr>
            <w:tcW w:w="1965" w:type="dxa"/>
            <w:vAlign w:val="center"/>
          </w:tcPr>
          <w:p w14:paraId="6A41014B" w14:textId="02D1C15B" w:rsidR="008003A0" w:rsidRPr="00B13556" w:rsidRDefault="008003A0" w:rsidP="00EE05DD">
            <w:pPr>
              <w:spacing w:before="60" w:after="60" w:line="276" w:lineRule="auto"/>
              <w:jc w:val="both"/>
              <w:rPr>
                <w:rFonts w:ascii="Arial" w:hAnsi="Arial" w:cs="Arial"/>
              </w:rPr>
            </w:pPr>
            <w:r w:rsidRPr="00B13556">
              <w:rPr>
                <w:rFonts w:ascii="Arial" w:hAnsi="Arial" w:cs="Arial"/>
              </w:rPr>
              <w:t>Financing costs (£m)</w:t>
            </w:r>
          </w:p>
        </w:tc>
        <w:tc>
          <w:tcPr>
            <w:tcW w:w="1208" w:type="dxa"/>
            <w:vAlign w:val="center"/>
          </w:tcPr>
          <w:p w14:paraId="5ADB82EB" w14:textId="377089DB"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24,321</w:t>
            </w:r>
          </w:p>
        </w:tc>
        <w:tc>
          <w:tcPr>
            <w:tcW w:w="1209" w:type="dxa"/>
            <w:vAlign w:val="center"/>
          </w:tcPr>
          <w:p w14:paraId="323A680F" w14:textId="73655C9D"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25,000</w:t>
            </w:r>
          </w:p>
        </w:tc>
        <w:tc>
          <w:tcPr>
            <w:tcW w:w="1207" w:type="dxa"/>
            <w:shd w:val="clear" w:color="auto" w:fill="E7E6E6" w:themeFill="background2"/>
            <w:vAlign w:val="center"/>
          </w:tcPr>
          <w:p w14:paraId="05B6D681" w14:textId="129EECDF"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32,872</w:t>
            </w:r>
          </w:p>
        </w:tc>
        <w:tc>
          <w:tcPr>
            <w:tcW w:w="1207" w:type="dxa"/>
            <w:vAlign w:val="center"/>
          </w:tcPr>
          <w:p w14:paraId="524FB82D" w14:textId="75F1E7F9"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34,008</w:t>
            </w:r>
          </w:p>
        </w:tc>
      </w:tr>
      <w:tr w:rsidR="008003A0" w:rsidRPr="00D85345" w14:paraId="698CDF4D" w14:textId="4AD091B9" w:rsidTr="008003A0">
        <w:tc>
          <w:tcPr>
            <w:tcW w:w="1965" w:type="dxa"/>
            <w:vAlign w:val="center"/>
          </w:tcPr>
          <w:p w14:paraId="630DDCFA" w14:textId="7D45C3B5" w:rsidR="008003A0" w:rsidRPr="00B13556" w:rsidRDefault="008003A0" w:rsidP="00EE05DD">
            <w:pPr>
              <w:spacing w:before="60" w:after="60" w:line="276" w:lineRule="auto"/>
              <w:jc w:val="both"/>
              <w:rPr>
                <w:rFonts w:ascii="Arial" w:hAnsi="Arial" w:cs="Arial"/>
              </w:rPr>
            </w:pPr>
            <w:r w:rsidRPr="00B13556">
              <w:rPr>
                <w:rFonts w:ascii="Arial" w:hAnsi="Arial" w:cs="Arial"/>
              </w:rPr>
              <w:t>Proportion of net revenue stream</w:t>
            </w:r>
            <w:r>
              <w:rPr>
                <w:rFonts w:ascii="Arial" w:hAnsi="Arial" w:cs="Arial"/>
              </w:rPr>
              <w:t xml:space="preserve"> (%)</w:t>
            </w:r>
          </w:p>
        </w:tc>
        <w:tc>
          <w:tcPr>
            <w:tcW w:w="1208" w:type="dxa"/>
            <w:vAlign w:val="center"/>
          </w:tcPr>
          <w:p w14:paraId="25E33BFD" w14:textId="62D7D9A6"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14.7</w:t>
            </w:r>
          </w:p>
        </w:tc>
        <w:tc>
          <w:tcPr>
            <w:tcW w:w="1209" w:type="dxa"/>
            <w:vAlign w:val="center"/>
          </w:tcPr>
          <w:p w14:paraId="1981123C" w14:textId="0DC5A27B"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14.8</w:t>
            </w:r>
          </w:p>
        </w:tc>
        <w:tc>
          <w:tcPr>
            <w:tcW w:w="1207" w:type="dxa"/>
            <w:shd w:val="clear" w:color="auto" w:fill="E7E6E6" w:themeFill="background2"/>
            <w:vAlign w:val="center"/>
          </w:tcPr>
          <w:p w14:paraId="07A5398E" w14:textId="71F6EEBF"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19.5</w:t>
            </w:r>
          </w:p>
        </w:tc>
        <w:tc>
          <w:tcPr>
            <w:tcW w:w="1207" w:type="dxa"/>
            <w:vAlign w:val="center"/>
          </w:tcPr>
          <w:p w14:paraId="689DA113" w14:textId="2931F9B8" w:rsidR="008003A0" w:rsidRPr="00B13556" w:rsidRDefault="008003A0" w:rsidP="00EE05DD">
            <w:pPr>
              <w:spacing w:before="60" w:after="60" w:line="276" w:lineRule="auto"/>
              <w:jc w:val="both"/>
              <w:rPr>
                <w:rFonts w:ascii="Arial" w:hAnsi="Arial" w:cs="Arial"/>
              </w:rPr>
            </w:pPr>
            <w:r>
              <w:rPr>
                <w:rFonts w:ascii="Arial" w:hAnsi="Arial" w:cs="Arial"/>
                <w:color w:val="000000"/>
                <w:sz w:val="20"/>
                <w:szCs w:val="20"/>
              </w:rPr>
              <w:t>20.3</w:t>
            </w:r>
          </w:p>
        </w:tc>
      </w:tr>
    </w:tbl>
    <w:p w14:paraId="3AE019D1" w14:textId="24AE226D" w:rsidR="00562EFF" w:rsidRDefault="00844411" w:rsidP="00EE05DD">
      <w:pPr>
        <w:spacing w:after="0" w:line="276" w:lineRule="auto"/>
        <w:ind w:left="709"/>
        <w:jc w:val="both"/>
        <w:rPr>
          <w:rFonts w:ascii="Arial" w:hAnsi="Arial" w:cs="Arial"/>
          <w:sz w:val="24"/>
          <w:szCs w:val="24"/>
        </w:rPr>
      </w:pPr>
      <w:r>
        <w:rPr>
          <w:rFonts w:ascii="Arial" w:hAnsi="Arial" w:cs="Arial"/>
          <w:sz w:val="24"/>
          <w:szCs w:val="24"/>
        </w:rPr>
        <w:t>N</w:t>
      </w:r>
      <w:r w:rsidR="00DF26E4">
        <w:rPr>
          <w:rFonts w:ascii="Arial" w:hAnsi="Arial" w:cs="Arial"/>
          <w:sz w:val="24"/>
          <w:szCs w:val="24"/>
        </w:rPr>
        <w:t xml:space="preserve">et revenue stream is </w:t>
      </w:r>
      <w:r w:rsidR="00846489">
        <w:rPr>
          <w:rFonts w:ascii="Arial" w:hAnsi="Arial" w:cs="Arial"/>
          <w:sz w:val="24"/>
          <w:szCs w:val="24"/>
        </w:rPr>
        <w:t>the general fund budget requirement</w:t>
      </w:r>
      <w:r w:rsidR="00481A90">
        <w:rPr>
          <w:rFonts w:ascii="Arial" w:hAnsi="Arial" w:cs="Arial"/>
          <w:sz w:val="24"/>
          <w:szCs w:val="24"/>
        </w:rPr>
        <w:t>,</w:t>
      </w:r>
      <w:r w:rsidR="00846489">
        <w:rPr>
          <w:rFonts w:ascii="Arial" w:hAnsi="Arial" w:cs="Arial"/>
          <w:sz w:val="24"/>
          <w:szCs w:val="24"/>
        </w:rPr>
        <w:t xml:space="preserve"> </w:t>
      </w:r>
      <w:r w:rsidR="00481A90">
        <w:rPr>
          <w:rFonts w:ascii="Arial" w:hAnsi="Arial" w:cs="Arial"/>
          <w:sz w:val="24"/>
          <w:szCs w:val="24"/>
        </w:rPr>
        <w:t xml:space="preserve">which is funded through Council Tax Business Rates and Government Grants. </w:t>
      </w:r>
    </w:p>
    <w:p w14:paraId="5D2CADD9" w14:textId="77777777" w:rsidR="00DF26E4" w:rsidRPr="00D85345" w:rsidRDefault="00DF26E4" w:rsidP="00EE05DD">
      <w:pPr>
        <w:spacing w:after="0" w:line="276" w:lineRule="auto"/>
        <w:ind w:left="360"/>
        <w:jc w:val="both"/>
        <w:rPr>
          <w:rFonts w:ascii="Arial" w:hAnsi="Arial" w:cs="Arial"/>
          <w:sz w:val="24"/>
          <w:szCs w:val="24"/>
        </w:rPr>
      </w:pPr>
    </w:p>
    <w:p w14:paraId="2CDA2580" w14:textId="57A33B7B" w:rsidR="003B03A8" w:rsidRPr="00962C70" w:rsidRDefault="00B57887" w:rsidP="00EE05DD">
      <w:pPr>
        <w:spacing w:after="200" w:line="276" w:lineRule="auto"/>
        <w:jc w:val="both"/>
        <w:rPr>
          <w:rFonts w:ascii="Arial" w:hAnsi="Arial" w:cs="Arial"/>
          <w:b/>
          <w:sz w:val="24"/>
          <w:szCs w:val="24"/>
        </w:rPr>
      </w:pPr>
      <w:r w:rsidRPr="00962C70">
        <w:rPr>
          <w:rFonts w:ascii="Arial" w:hAnsi="Arial" w:cs="Arial"/>
          <w:b/>
          <w:sz w:val="24"/>
          <w:szCs w:val="24"/>
        </w:rPr>
        <w:t>Sustainability</w:t>
      </w:r>
    </w:p>
    <w:p w14:paraId="1598BEE4" w14:textId="48BC6DD5" w:rsidR="00962C70" w:rsidRDefault="00B57887" w:rsidP="00EE05DD">
      <w:pPr>
        <w:pStyle w:val="ListParagraph"/>
        <w:numPr>
          <w:ilvl w:val="0"/>
          <w:numId w:val="16"/>
        </w:numPr>
        <w:spacing w:before="400" w:after="200" w:line="276" w:lineRule="auto"/>
        <w:jc w:val="both"/>
        <w:rPr>
          <w:rFonts w:ascii="Arial" w:hAnsi="Arial" w:cs="Arial"/>
          <w:sz w:val="24"/>
          <w:szCs w:val="24"/>
        </w:rPr>
      </w:pPr>
      <w:r w:rsidRPr="00962C70">
        <w:rPr>
          <w:rFonts w:ascii="Arial" w:hAnsi="Arial" w:cs="Arial"/>
          <w:sz w:val="24"/>
          <w:szCs w:val="24"/>
        </w:rPr>
        <w:t xml:space="preserve">Due to the very long-term nature of capital expenditure and financing, the revenue budget implications of expenditure incurred in the next few years will extend for up to </w:t>
      </w:r>
      <w:r w:rsidR="00F631A5" w:rsidRPr="00962C70">
        <w:rPr>
          <w:rFonts w:ascii="Arial" w:hAnsi="Arial" w:cs="Arial"/>
          <w:sz w:val="24"/>
          <w:szCs w:val="24"/>
        </w:rPr>
        <w:t>35</w:t>
      </w:r>
      <w:r w:rsidRPr="00962C70">
        <w:rPr>
          <w:rFonts w:ascii="Arial" w:hAnsi="Arial" w:cs="Arial"/>
          <w:sz w:val="24"/>
          <w:szCs w:val="24"/>
        </w:rPr>
        <w:t xml:space="preserve"> years into the future. </w:t>
      </w:r>
      <w:r w:rsidR="005E1B73" w:rsidRPr="00962C70">
        <w:rPr>
          <w:rFonts w:ascii="Arial" w:hAnsi="Arial" w:cs="Arial"/>
          <w:sz w:val="24"/>
          <w:szCs w:val="24"/>
        </w:rPr>
        <w:t>The Director</w:t>
      </w:r>
      <w:r w:rsidRPr="00962C70">
        <w:rPr>
          <w:rFonts w:ascii="Arial" w:hAnsi="Arial" w:cs="Arial"/>
          <w:sz w:val="24"/>
          <w:szCs w:val="24"/>
        </w:rPr>
        <w:t xml:space="preserve"> of Finance is satisfied that </w:t>
      </w:r>
      <w:r w:rsidR="00962C70" w:rsidRPr="00962C70">
        <w:rPr>
          <w:rFonts w:ascii="Arial" w:hAnsi="Arial" w:cs="Arial"/>
          <w:sz w:val="24"/>
          <w:szCs w:val="24"/>
        </w:rPr>
        <w:t xml:space="preserve">both </w:t>
      </w:r>
      <w:r w:rsidRPr="00962C70">
        <w:rPr>
          <w:rFonts w:ascii="Arial" w:hAnsi="Arial" w:cs="Arial"/>
          <w:sz w:val="24"/>
          <w:szCs w:val="24"/>
        </w:rPr>
        <w:t xml:space="preserve">the proposed </w:t>
      </w:r>
      <w:r w:rsidR="00962C70" w:rsidRPr="00962C70">
        <w:rPr>
          <w:rFonts w:ascii="Arial" w:hAnsi="Arial" w:cs="Arial"/>
          <w:sz w:val="24"/>
          <w:szCs w:val="24"/>
        </w:rPr>
        <w:t>individual schemes and the overall programme are tested for affordability, sustainability and prudence</w:t>
      </w:r>
      <w:r w:rsidR="003838ED" w:rsidRPr="00962C70">
        <w:rPr>
          <w:rFonts w:ascii="Arial" w:hAnsi="Arial" w:cs="Arial"/>
          <w:sz w:val="24"/>
          <w:szCs w:val="24"/>
        </w:rPr>
        <w:t xml:space="preserve">. </w:t>
      </w:r>
    </w:p>
    <w:p w14:paraId="2AFC432D" w14:textId="77777777" w:rsidR="008A3373" w:rsidRDefault="008A3373" w:rsidP="00EE05DD">
      <w:pPr>
        <w:pStyle w:val="ListParagraph"/>
        <w:spacing w:before="400" w:after="200" w:line="276" w:lineRule="auto"/>
        <w:ind w:left="709"/>
        <w:jc w:val="both"/>
        <w:rPr>
          <w:rFonts w:ascii="Arial" w:hAnsi="Arial" w:cs="Arial"/>
          <w:sz w:val="24"/>
          <w:szCs w:val="24"/>
        </w:rPr>
      </w:pPr>
    </w:p>
    <w:p w14:paraId="7EF6AA21" w14:textId="6D748BF2" w:rsidR="00962C70" w:rsidRPr="00962C70" w:rsidRDefault="00962C70" w:rsidP="00EE05DD">
      <w:pPr>
        <w:pStyle w:val="ListParagraph"/>
        <w:numPr>
          <w:ilvl w:val="0"/>
          <w:numId w:val="16"/>
        </w:numPr>
        <w:spacing w:before="400" w:after="200" w:line="276" w:lineRule="auto"/>
        <w:jc w:val="both"/>
        <w:rPr>
          <w:rFonts w:ascii="Arial" w:hAnsi="Arial" w:cs="Arial"/>
          <w:sz w:val="24"/>
          <w:szCs w:val="24"/>
        </w:rPr>
      </w:pPr>
      <w:r w:rsidRPr="00962C70">
        <w:rPr>
          <w:rFonts w:ascii="Arial" w:hAnsi="Arial" w:cs="Arial"/>
          <w:sz w:val="24"/>
          <w:szCs w:val="24"/>
        </w:rPr>
        <w:t xml:space="preserve">Projects to be financed from planned borrowing fall into three broad financing strategies, with a fourth category of investment to be financed from future Council Tax revenues. The broad financing strategies </w:t>
      </w:r>
      <w:r w:rsidR="005E1B73" w:rsidRPr="00962C70">
        <w:rPr>
          <w:rFonts w:ascii="Arial" w:hAnsi="Arial" w:cs="Arial"/>
          <w:sz w:val="24"/>
          <w:szCs w:val="24"/>
        </w:rPr>
        <w:t>are</w:t>
      </w:r>
      <w:r>
        <w:rPr>
          <w:rFonts w:ascii="Arial" w:hAnsi="Arial" w:cs="Arial"/>
          <w:sz w:val="24"/>
          <w:szCs w:val="24"/>
        </w:rPr>
        <w:t xml:space="preserve"> investment</w:t>
      </w:r>
      <w:r w:rsidRPr="00962C70">
        <w:rPr>
          <w:rFonts w:ascii="Arial" w:hAnsi="Arial" w:cs="Arial"/>
          <w:sz w:val="24"/>
          <w:szCs w:val="24"/>
        </w:rPr>
        <w:t xml:space="preserve"> projects where specific capital receipts are recognised on completion of the project to </w:t>
      </w:r>
      <w:r>
        <w:rPr>
          <w:rFonts w:ascii="Arial" w:hAnsi="Arial" w:cs="Arial"/>
          <w:sz w:val="24"/>
          <w:szCs w:val="24"/>
        </w:rPr>
        <w:t>cover costs</w:t>
      </w:r>
      <w:r w:rsidRPr="00962C70">
        <w:rPr>
          <w:rFonts w:ascii="Arial" w:hAnsi="Arial" w:cs="Arial"/>
          <w:sz w:val="24"/>
          <w:szCs w:val="24"/>
        </w:rPr>
        <w:t>; commercial activity with full funding through dividends, interest and principle</w:t>
      </w:r>
      <w:r>
        <w:rPr>
          <w:rFonts w:ascii="Arial" w:hAnsi="Arial" w:cs="Arial"/>
          <w:sz w:val="24"/>
          <w:szCs w:val="24"/>
        </w:rPr>
        <w:t xml:space="preserve"> repayments; and</w:t>
      </w:r>
      <w:r w:rsidRPr="00962C70">
        <w:rPr>
          <w:rFonts w:ascii="Arial" w:hAnsi="Arial" w:cs="Arial"/>
          <w:sz w:val="24"/>
          <w:szCs w:val="24"/>
        </w:rPr>
        <w:t xml:space="preserve"> invest to save projects where borrowing costs are offset by ongoing revenue savings. The fourth </w:t>
      </w:r>
      <w:r w:rsidR="005E1B73" w:rsidRPr="00962C70">
        <w:rPr>
          <w:rFonts w:ascii="Arial" w:hAnsi="Arial" w:cs="Arial"/>
          <w:sz w:val="24"/>
          <w:szCs w:val="24"/>
        </w:rPr>
        <w:t>category is</w:t>
      </w:r>
      <w:r w:rsidRPr="00962C70">
        <w:rPr>
          <w:rFonts w:ascii="Arial" w:hAnsi="Arial" w:cs="Arial"/>
          <w:sz w:val="24"/>
          <w:szCs w:val="24"/>
        </w:rPr>
        <w:t xml:space="preserve"> projects linked to service delivery projects to meet the demands of residents.</w:t>
      </w:r>
    </w:p>
    <w:p w14:paraId="66D6BEB1" w14:textId="42CEE4A6" w:rsidR="00A74078" w:rsidRPr="00962C70" w:rsidRDefault="00A74078" w:rsidP="00EE05DD">
      <w:pPr>
        <w:spacing w:before="400" w:after="200" w:line="276" w:lineRule="auto"/>
        <w:jc w:val="both"/>
        <w:rPr>
          <w:rFonts w:ascii="Arial" w:hAnsi="Arial" w:cs="Arial"/>
          <w:b/>
          <w:sz w:val="24"/>
          <w:szCs w:val="24"/>
        </w:rPr>
      </w:pPr>
      <w:r w:rsidRPr="00962C70">
        <w:rPr>
          <w:rFonts w:ascii="Arial" w:hAnsi="Arial" w:cs="Arial"/>
          <w:b/>
          <w:sz w:val="24"/>
          <w:szCs w:val="24"/>
        </w:rPr>
        <w:t>Knowledge and Skills</w:t>
      </w:r>
    </w:p>
    <w:p w14:paraId="204D7297" w14:textId="5390E35A" w:rsidR="008F67EA" w:rsidRPr="00844411" w:rsidRDefault="00844411" w:rsidP="00EE05DD">
      <w:pPr>
        <w:spacing w:after="200" w:line="276" w:lineRule="auto"/>
        <w:ind w:left="709" w:hanging="349"/>
        <w:jc w:val="both"/>
        <w:rPr>
          <w:rFonts w:ascii="Arial" w:hAnsi="Arial" w:cs="Arial"/>
          <w:strike/>
          <w:sz w:val="24"/>
          <w:szCs w:val="24"/>
        </w:rPr>
      </w:pPr>
      <w:r>
        <w:rPr>
          <w:rFonts w:ascii="Arial" w:hAnsi="Arial" w:cs="Arial"/>
          <w:sz w:val="24"/>
          <w:szCs w:val="24"/>
        </w:rPr>
        <w:t xml:space="preserve">37 </w:t>
      </w:r>
      <w:r w:rsidR="00E5420C" w:rsidRPr="00844411">
        <w:rPr>
          <w:rFonts w:ascii="Arial" w:hAnsi="Arial" w:cs="Arial"/>
          <w:sz w:val="24"/>
          <w:szCs w:val="24"/>
        </w:rPr>
        <w:t>The Council employs professionally qualified and experienced staff in senior positions with responsibility for making capital expenditure, borr</w:t>
      </w:r>
      <w:r w:rsidR="003838ED" w:rsidRPr="00844411">
        <w:rPr>
          <w:rFonts w:ascii="Arial" w:hAnsi="Arial" w:cs="Arial"/>
          <w:sz w:val="24"/>
          <w:szCs w:val="24"/>
        </w:rPr>
        <w:t>owing and investment decisions.</w:t>
      </w:r>
    </w:p>
    <w:p w14:paraId="1AFFA04A" w14:textId="77777777" w:rsidR="003838ED" w:rsidRPr="003838ED" w:rsidRDefault="003838ED" w:rsidP="00EE05DD">
      <w:pPr>
        <w:pStyle w:val="ListParagraph"/>
        <w:spacing w:after="200" w:line="276" w:lineRule="auto"/>
        <w:ind w:left="360"/>
        <w:jc w:val="both"/>
        <w:rPr>
          <w:rFonts w:ascii="Arial" w:hAnsi="Arial" w:cs="Arial"/>
          <w:strike/>
          <w:sz w:val="24"/>
          <w:szCs w:val="24"/>
        </w:rPr>
      </w:pPr>
    </w:p>
    <w:p w14:paraId="1A75CA98" w14:textId="0CD5CFC1" w:rsidR="003838ED" w:rsidRPr="00844411" w:rsidRDefault="00DC3E00" w:rsidP="00EE05DD">
      <w:pPr>
        <w:pStyle w:val="ListParagraph"/>
        <w:numPr>
          <w:ilvl w:val="0"/>
          <w:numId w:val="17"/>
        </w:numPr>
        <w:spacing w:after="200" w:line="276" w:lineRule="auto"/>
        <w:jc w:val="both"/>
        <w:rPr>
          <w:rFonts w:ascii="Arial" w:hAnsi="Arial" w:cs="Arial"/>
          <w:sz w:val="24"/>
          <w:szCs w:val="24"/>
        </w:rPr>
      </w:pPr>
      <w:r w:rsidRPr="00844411">
        <w:rPr>
          <w:rFonts w:ascii="Arial" w:hAnsi="Arial" w:cs="Arial"/>
          <w:sz w:val="24"/>
          <w:szCs w:val="24"/>
        </w:rPr>
        <w:lastRenderedPageBreak/>
        <w:t>The Council adopts a continuous performance and development programme to ensure officers are regularly appraised and any training needs identified. Where appropriate, officers will attend training sessions, seminars and workshops to ensure their knowledge is up to date and relevant. Council Members are provided access to add</w:t>
      </w:r>
      <w:r w:rsidR="008003A0" w:rsidRPr="00844411">
        <w:rPr>
          <w:rFonts w:ascii="Arial" w:hAnsi="Arial" w:cs="Arial"/>
          <w:sz w:val="24"/>
          <w:szCs w:val="24"/>
        </w:rPr>
        <w:t xml:space="preserve">itional training where required. </w:t>
      </w:r>
    </w:p>
    <w:p w14:paraId="2A39E110" w14:textId="77777777" w:rsidR="00C9627C" w:rsidRPr="00C9627C" w:rsidRDefault="00C9627C" w:rsidP="00EE05DD">
      <w:pPr>
        <w:pStyle w:val="ListParagraph"/>
        <w:jc w:val="both"/>
        <w:rPr>
          <w:rFonts w:ascii="Arial" w:hAnsi="Arial" w:cs="Arial"/>
          <w:sz w:val="24"/>
          <w:szCs w:val="24"/>
        </w:rPr>
      </w:pPr>
    </w:p>
    <w:p w14:paraId="10E0807E" w14:textId="40D7CA7F" w:rsidR="00E174DA" w:rsidRPr="00844411" w:rsidRDefault="00844411" w:rsidP="00EE05DD">
      <w:pPr>
        <w:spacing w:after="200" w:line="276" w:lineRule="auto"/>
        <w:ind w:left="709" w:hanging="349"/>
        <w:jc w:val="both"/>
        <w:rPr>
          <w:rFonts w:ascii="Arial" w:hAnsi="Arial" w:cs="Arial"/>
          <w:strike/>
          <w:sz w:val="24"/>
          <w:szCs w:val="24"/>
        </w:rPr>
      </w:pPr>
      <w:r>
        <w:rPr>
          <w:rFonts w:ascii="Arial" w:hAnsi="Arial" w:cs="Arial"/>
          <w:sz w:val="24"/>
          <w:szCs w:val="24"/>
        </w:rPr>
        <w:t xml:space="preserve">39 </w:t>
      </w:r>
      <w:r w:rsidR="001E5683" w:rsidRPr="00844411">
        <w:rPr>
          <w:rFonts w:ascii="Arial" w:hAnsi="Arial" w:cs="Arial"/>
          <w:sz w:val="24"/>
          <w:szCs w:val="24"/>
        </w:rPr>
        <w:t xml:space="preserve">Where Council </w:t>
      </w:r>
      <w:r w:rsidR="007D378A" w:rsidRPr="00844411">
        <w:rPr>
          <w:rFonts w:ascii="Arial" w:hAnsi="Arial" w:cs="Arial"/>
          <w:sz w:val="24"/>
          <w:szCs w:val="24"/>
        </w:rPr>
        <w:t>staff does</w:t>
      </w:r>
      <w:r w:rsidR="001E5683" w:rsidRPr="00844411">
        <w:rPr>
          <w:rFonts w:ascii="Arial" w:hAnsi="Arial" w:cs="Arial"/>
          <w:sz w:val="24"/>
          <w:szCs w:val="24"/>
        </w:rPr>
        <w:t xml:space="preserve"> not have the knowledge and skills required, use is </w:t>
      </w:r>
      <w:r>
        <w:rPr>
          <w:rFonts w:ascii="Arial" w:hAnsi="Arial" w:cs="Arial"/>
          <w:sz w:val="24"/>
          <w:szCs w:val="24"/>
        </w:rPr>
        <w:t xml:space="preserve">     </w:t>
      </w:r>
      <w:r w:rsidR="001E5683" w:rsidRPr="00844411">
        <w:rPr>
          <w:rFonts w:ascii="Arial" w:hAnsi="Arial" w:cs="Arial"/>
          <w:sz w:val="24"/>
          <w:szCs w:val="24"/>
        </w:rPr>
        <w:t xml:space="preserve">made of external advisers and consultants that are specialists in their field. </w:t>
      </w:r>
      <w:r w:rsidR="00C9627C" w:rsidRPr="00844411">
        <w:rPr>
          <w:rFonts w:ascii="Arial" w:hAnsi="Arial" w:cs="Arial"/>
          <w:sz w:val="24"/>
          <w:szCs w:val="24"/>
        </w:rPr>
        <w:t xml:space="preserve"> </w:t>
      </w:r>
    </w:p>
    <w:p w14:paraId="1BC0DC72" w14:textId="77777777" w:rsidR="0053035C" w:rsidRPr="0053035C" w:rsidRDefault="0053035C" w:rsidP="00EE05DD">
      <w:pPr>
        <w:jc w:val="both"/>
        <w:rPr>
          <w:rFonts w:ascii="Arial" w:hAnsi="Arial" w:cs="Arial"/>
          <w:strike/>
          <w:sz w:val="24"/>
          <w:szCs w:val="24"/>
        </w:rPr>
      </w:pPr>
    </w:p>
    <w:sectPr w:rsidR="0053035C" w:rsidRPr="0053035C" w:rsidSect="00084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6F5"/>
    <w:multiLevelType w:val="hybridMultilevel"/>
    <w:tmpl w:val="7BA25CE8"/>
    <w:lvl w:ilvl="0" w:tplc="9236C1E2">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8A4F5D"/>
    <w:multiLevelType w:val="hybridMultilevel"/>
    <w:tmpl w:val="F35EED4C"/>
    <w:lvl w:ilvl="0" w:tplc="246EF4AC">
      <w:start w:val="7"/>
      <w:numFmt w:val="decimal"/>
      <w:lvlText w:val="%1"/>
      <w:lvlJc w:val="left"/>
      <w:pPr>
        <w:ind w:left="786"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1205A"/>
    <w:multiLevelType w:val="hybridMultilevel"/>
    <w:tmpl w:val="CF1C1E8E"/>
    <w:lvl w:ilvl="0" w:tplc="019C3398">
      <w:start w:val="1"/>
      <w:numFmt w:val="decimal"/>
      <w:lvlText w:val="%1."/>
      <w:lvlJc w:val="left"/>
      <w:pPr>
        <w:ind w:left="360" w:hanging="360"/>
      </w:pPr>
      <w:rPr>
        <w:rFonts w:hint="default"/>
        <w:b w:val="0"/>
        <w:i w:val="0"/>
        <w:strike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3167EC"/>
    <w:multiLevelType w:val="hybridMultilevel"/>
    <w:tmpl w:val="D58AB224"/>
    <w:lvl w:ilvl="0" w:tplc="EE4097F2">
      <w:start w:val="1"/>
      <w:numFmt w:val="decimal"/>
      <w:lvlText w:val="%1."/>
      <w:lvlJc w:val="left"/>
      <w:pPr>
        <w:tabs>
          <w:tab w:val="num" w:pos="720"/>
        </w:tabs>
        <w:ind w:left="720" w:hanging="360"/>
      </w:pPr>
      <w:rPr>
        <w:rFonts w:cs="Times New Roman" w:hint="default"/>
        <w:b w:val="0"/>
        <w:i w:val="0"/>
        <w:color w:val="auto"/>
        <w:sz w:val="24"/>
        <w:szCs w:val="24"/>
      </w:rPr>
    </w:lvl>
    <w:lvl w:ilvl="1" w:tplc="918AD572">
      <w:start w:val="1"/>
      <w:numFmt w:val="bullet"/>
      <w:lvlText w:val=""/>
      <w:lvlJc w:val="left"/>
      <w:pPr>
        <w:tabs>
          <w:tab w:val="num" w:pos="1800"/>
        </w:tabs>
        <w:ind w:left="1800" w:hanging="360"/>
      </w:pPr>
      <w:rPr>
        <w:rFonts w:ascii="Symbol" w:hAnsi="Symbol" w:hint="default"/>
        <w:b w:val="0"/>
      </w:rPr>
    </w:lvl>
    <w:lvl w:ilvl="2" w:tplc="B166380C">
      <w:start w:val="1"/>
      <w:numFmt w:val="decimal"/>
      <w:lvlText w:val="%3."/>
      <w:lvlJc w:val="left"/>
      <w:pPr>
        <w:tabs>
          <w:tab w:val="num" w:pos="1080"/>
        </w:tabs>
        <w:ind w:left="1080" w:hanging="360"/>
      </w:pPr>
      <w:rPr>
        <w:rFonts w:cs="Times New Roman" w:hint="default"/>
        <w:b w:val="0"/>
        <w:i w:val="0"/>
        <w:color w:val="auto"/>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5A02505"/>
    <w:multiLevelType w:val="hybridMultilevel"/>
    <w:tmpl w:val="C7A45B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F17E4"/>
    <w:multiLevelType w:val="hybridMultilevel"/>
    <w:tmpl w:val="A1801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0D6586"/>
    <w:multiLevelType w:val="hybridMultilevel"/>
    <w:tmpl w:val="418CF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506353"/>
    <w:multiLevelType w:val="hybridMultilevel"/>
    <w:tmpl w:val="7646D6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870662"/>
    <w:multiLevelType w:val="hybridMultilevel"/>
    <w:tmpl w:val="D924F080"/>
    <w:lvl w:ilvl="0" w:tplc="19ECE39C">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94B27C6"/>
    <w:multiLevelType w:val="hybridMultilevel"/>
    <w:tmpl w:val="8A36DE20"/>
    <w:lvl w:ilvl="0" w:tplc="0F98804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A774C3"/>
    <w:multiLevelType w:val="multilevel"/>
    <w:tmpl w:val="C67AD95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3C148E3"/>
    <w:multiLevelType w:val="hybridMultilevel"/>
    <w:tmpl w:val="F310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71E84"/>
    <w:multiLevelType w:val="hybridMultilevel"/>
    <w:tmpl w:val="C98E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AB7D5D"/>
    <w:multiLevelType w:val="hybridMultilevel"/>
    <w:tmpl w:val="0540B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F61B91"/>
    <w:multiLevelType w:val="hybridMultilevel"/>
    <w:tmpl w:val="990852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44C1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BC7EE4"/>
    <w:multiLevelType w:val="hybridMultilevel"/>
    <w:tmpl w:val="902EC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4"/>
  </w:num>
  <w:num w:numId="3">
    <w:abstractNumId w:val="12"/>
  </w:num>
  <w:num w:numId="4">
    <w:abstractNumId w:val="15"/>
  </w:num>
  <w:num w:numId="5">
    <w:abstractNumId w:val="6"/>
  </w:num>
  <w:num w:numId="6">
    <w:abstractNumId w:val="10"/>
  </w:num>
  <w:num w:numId="7">
    <w:abstractNumId w:val="2"/>
  </w:num>
  <w:num w:numId="8">
    <w:abstractNumId w:val="16"/>
  </w:num>
  <w:num w:numId="9">
    <w:abstractNumId w:val="8"/>
  </w:num>
  <w:num w:numId="10">
    <w:abstractNumId w:val="11"/>
  </w:num>
  <w:num w:numId="11">
    <w:abstractNumId w:val="14"/>
  </w:num>
  <w:num w:numId="12">
    <w:abstractNumId w:val="3"/>
  </w:num>
  <w:num w:numId="13">
    <w:abstractNumId w:val="5"/>
  </w:num>
  <w:num w:numId="14">
    <w:abstractNumId w:val="9"/>
  </w:num>
  <w:num w:numId="15">
    <w:abstractNumId w:val="7"/>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D3"/>
    <w:rsid w:val="000057B6"/>
    <w:rsid w:val="000134A3"/>
    <w:rsid w:val="00016577"/>
    <w:rsid w:val="00022B39"/>
    <w:rsid w:val="00025E6A"/>
    <w:rsid w:val="00030E58"/>
    <w:rsid w:val="00036DE4"/>
    <w:rsid w:val="000401B1"/>
    <w:rsid w:val="000401F1"/>
    <w:rsid w:val="00040CF9"/>
    <w:rsid w:val="00061819"/>
    <w:rsid w:val="00067706"/>
    <w:rsid w:val="000844EF"/>
    <w:rsid w:val="000A298C"/>
    <w:rsid w:val="000A2AF9"/>
    <w:rsid w:val="000E2696"/>
    <w:rsid w:val="000F4792"/>
    <w:rsid w:val="000F51A2"/>
    <w:rsid w:val="000F788E"/>
    <w:rsid w:val="001067EE"/>
    <w:rsid w:val="00112CEC"/>
    <w:rsid w:val="00113952"/>
    <w:rsid w:val="00114870"/>
    <w:rsid w:val="00117ABF"/>
    <w:rsid w:val="00122496"/>
    <w:rsid w:val="00151F72"/>
    <w:rsid w:val="001617EF"/>
    <w:rsid w:val="00185EAA"/>
    <w:rsid w:val="00187D18"/>
    <w:rsid w:val="001A2B3E"/>
    <w:rsid w:val="001C0E44"/>
    <w:rsid w:val="001C7D9F"/>
    <w:rsid w:val="001D17CF"/>
    <w:rsid w:val="001D2612"/>
    <w:rsid w:val="001D7D95"/>
    <w:rsid w:val="001E4888"/>
    <w:rsid w:val="001E5683"/>
    <w:rsid w:val="001F0D3D"/>
    <w:rsid w:val="00213A4E"/>
    <w:rsid w:val="0022392B"/>
    <w:rsid w:val="00232436"/>
    <w:rsid w:val="002331EE"/>
    <w:rsid w:val="00233DB3"/>
    <w:rsid w:val="00257CBC"/>
    <w:rsid w:val="00261822"/>
    <w:rsid w:val="00263E86"/>
    <w:rsid w:val="00282073"/>
    <w:rsid w:val="00284EE2"/>
    <w:rsid w:val="00293098"/>
    <w:rsid w:val="002A6551"/>
    <w:rsid w:val="002B72CC"/>
    <w:rsid w:val="002D3357"/>
    <w:rsid w:val="002E0BB4"/>
    <w:rsid w:val="002E374B"/>
    <w:rsid w:val="002F7930"/>
    <w:rsid w:val="002F7C1D"/>
    <w:rsid w:val="00311CF9"/>
    <w:rsid w:val="00320A1E"/>
    <w:rsid w:val="00324962"/>
    <w:rsid w:val="00345CC4"/>
    <w:rsid w:val="003500F3"/>
    <w:rsid w:val="00356D12"/>
    <w:rsid w:val="003838ED"/>
    <w:rsid w:val="0038744F"/>
    <w:rsid w:val="0039018B"/>
    <w:rsid w:val="003A2F19"/>
    <w:rsid w:val="003A6E3C"/>
    <w:rsid w:val="003B03A8"/>
    <w:rsid w:val="003B5FEE"/>
    <w:rsid w:val="003D1809"/>
    <w:rsid w:val="003D2B57"/>
    <w:rsid w:val="003D341B"/>
    <w:rsid w:val="003D5133"/>
    <w:rsid w:val="003D70B4"/>
    <w:rsid w:val="003F449E"/>
    <w:rsid w:val="00412DAE"/>
    <w:rsid w:val="004343AC"/>
    <w:rsid w:val="00444E97"/>
    <w:rsid w:val="00457ACD"/>
    <w:rsid w:val="004643A7"/>
    <w:rsid w:val="00473882"/>
    <w:rsid w:val="004809E5"/>
    <w:rsid w:val="00481A90"/>
    <w:rsid w:val="0049237D"/>
    <w:rsid w:val="004A47E5"/>
    <w:rsid w:val="004B029B"/>
    <w:rsid w:val="004B0781"/>
    <w:rsid w:val="004B3130"/>
    <w:rsid w:val="004C16CB"/>
    <w:rsid w:val="004D1D81"/>
    <w:rsid w:val="004D6307"/>
    <w:rsid w:val="004E31D3"/>
    <w:rsid w:val="0050513E"/>
    <w:rsid w:val="005276FF"/>
    <w:rsid w:val="0053035C"/>
    <w:rsid w:val="00532CC7"/>
    <w:rsid w:val="00544D51"/>
    <w:rsid w:val="00550625"/>
    <w:rsid w:val="00551161"/>
    <w:rsid w:val="00551FA9"/>
    <w:rsid w:val="00553845"/>
    <w:rsid w:val="00562EFF"/>
    <w:rsid w:val="005662A0"/>
    <w:rsid w:val="00572853"/>
    <w:rsid w:val="00584985"/>
    <w:rsid w:val="00595C49"/>
    <w:rsid w:val="00596572"/>
    <w:rsid w:val="005C3605"/>
    <w:rsid w:val="005D54D4"/>
    <w:rsid w:val="005D704E"/>
    <w:rsid w:val="005D7EA4"/>
    <w:rsid w:val="005E1B73"/>
    <w:rsid w:val="005E4B92"/>
    <w:rsid w:val="00605050"/>
    <w:rsid w:val="0060673E"/>
    <w:rsid w:val="00617744"/>
    <w:rsid w:val="00635B0C"/>
    <w:rsid w:val="00642BFC"/>
    <w:rsid w:val="00651349"/>
    <w:rsid w:val="0065206E"/>
    <w:rsid w:val="00653A49"/>
    <w:rsid w:val="00673F1E"/>
    <w:rsid w:val="006A49F8"/>
    <w:rsid w:val="006A5EB8"/>
    <w:rsid w:val="006A78D3"/>
    <w:rsid w:val="006C0FCB"/>
    <w:rsid w:val="006C3C8A"/>
    <w:rsid w:val="006D7784"/>
    <w:rsid w:val="006E055D"/>
    <w:rsid w:val="006E2640"/>
    <w:rsid w:val="006E47D1"/>
    <w:rsid w:val="006F1678"/>
    <w:rsid w:val="00731418"/>
    <w:rsid w:val="0073332F"/>
    <w:rsid w:val="00736DD3"/>
    <w:rsid w:val="00741913"/>
    <w:rsid w:val="00750537"/>
    <w:rsid w:val="00763EBC"/>
    <w:rsid w:val="00766650"/>
    <w:rsid w:val="00772266"/>
    <w:rsid w:val="00784B88"/>
    <w:rsid w:val="00791A54"/>
    <w:rsid w:val="007938D7"/>
    <w:rsid w:val="007A2EAD"/>
    <w:rsid w:val="007A474B"/>
    <w:rsid w:val="007C204A"/>
    <w:rsid w:val="007D378A"/>
    <w:rsid w:val="007E040D"/>
    <w:rsid w:val="007E4126"/>
    <w:rsid w:val="007E79E7"/>
    <w:rsid w:val="007F17E2"/>
    <w:rsid w:val="008003A0"/>
    <w:rsid w:val="00811BA4"/>
    <w:rsid w:val="00817633"/>
    <w:rsid w:val="008220CD"/>
    <w:rsid w:val="00843036"/>
    <w:rsid w:val="00844411"/>
    <w:rsid w:val="00846489"/>
    <w:rsid w:val="00856053"/>
    <w:rsid w:val="00877F2C"/>
    <w:rsid w:val="0089563C"/>
    <w:rsid w:val="008A3373"/>
    <w:rsid w:val="008F67EA"/>
    <w:rsid w:val="00907694"/>
    <w:rsid w:val="00921364"/>
    <w:rsid w:val="00924778"/>
    <w:rsid w:val="0092727C"/>
    <w:rsid w:val="0093524E"/>
    <w:rsid w:val="00937215"/>
    <w:rsid w:val="0094506B"/>
    <w:rsid w:val="009469D9"/>
    <w:rsid w:val="00955EC9"/>
    <w:rsid w:val="00962C70"/>
    <w:rsid w:val="00967145"/>
    <w:rsid w:val="00984C0E"/>
    <w:rsid w:val="009A4E80"/>
    <w:rsid w:val="009B0251"/>
    <w:rsid w:val="009B2CB8"/>
    <w:rsid w:val="009C5563"/>
    <w:rsid w:val="009D6464"/>
    <w:rsid w:val="009E2937"/>
    <w:rsid w:val="009E3F75"/>
    <w:rsid w:val="009E55CC"/>
    <w:rsid w:val="009E717E"/>
    <w:rsid w:val="009F68C8"/>
    <w:rsid w:val="009F7469"/>
    <w:rsid w:val="00A07CB6"/>
    <w:rsid w:val="00A07FC1"/>
    <w:rsid w:val="00A1342C"/>
    <w:rsid w:val="00A146CD"/>
    <w:rsid w:val="00A20E9B"/>
    <w:rsid w:val="00A51268"/>
    <w:rsid w:val="00A74078"/>
    <w:rsid w:val="00A77788"/>
    <w:rsid w:val="00AA0754"/>
    <w:rsid w:val="00AD21E1"/>
    <w:rsid w:val="00AF647D"/>
    <w:rsid w:val="00B04D45"/>
    <w:rsid w:val="00B13556"/>
    <w:rsid w:val="00B32AB4"/>
    <w:rsid w:val="00B46845"/>
    <w:rsid w:val="00B57887"/>
    <w:rsid w:val="00B60B0E"/>
    <w:rsid w:val="00B6150A"/>
    <w:rsid w:val="00B66222"/>
    <w:rsid w:val="00B741EA"/>
    <w:rsid w:val="00B76C1E"/>
    <w:rsid w:val="00BC3665"/>
    <w:rsid w:val="00BC5E08"/>
    <w:rsid w:val="00BD56BC"/>
    <w:rsid w:val="00BE023B"/>
    <w:rsid w:val="00BF447F"/>
    <w:rsid w:val="00C04C25"/>
    <w:rsid w:val="00C05C26"/>
    <w:rsid w:val="00C06745"/>
    <w:rsid w:val="00C1178C"/>
    <w:rsid w:val="00C1742C"/>
    <w:rsid w:val="00C3069B"/>
    <w:rsid w:val="00C3450D"/>
    <w:rsid w:val="00C43DCD"/>
    <w:rsid w:val="00C4435F"/>
    <w:rsid w:val="00C46016"/>
    <w:rsid w:val="00C552BF"/>
    <w:rsid w:val="00C609CA"/>
    <w:rsid w:val="00C65D49"/>
    <w:rsid w:val="00C75064"/>
    <w:rsid w:val="00C757D5"/>
    <w:rsid w:val="00C80980"/>
    <w:rsid w:val="00C84A2E"/>
    <w:rsid w:val="00C86ED5"/>
    <w:rsid w:val="00C90A80"/>
    <w:rsid w:val="00C9627C"/>
    <w:rsid w:val="00CB1D3B"/>
    <w:rsid w:val="00CB3F24"/>
    <w:rsid w:val="00CC41BF"/>
    <w:rsid w:val="00CC7EB8"/>
    <w:rsid w:val="00CD462C"/>
    <w:rsid w:val="00CF5378"/>
    <w:rsid w:val="00D04F66"/>
    <w:rsid w:val="00D30478"/>
    <w:rsid w:val="00D43B1C"/>
    <w:rsid w:val="00D60BBC"/>
    <w:rsid w:val="00D654D8"/>
    <w:rsid w:val="00D71354"/>
    <w:rsid w:val="00D76D59"/>
    <w:rsid w:val="00D85345"/>
    <w:rsid w:val="00D92831"/>
    <w:rsid w:val="00D96341"/>
    <w:rsid w:val="00D97D1E"/>
    <w:rsid w:val="00DA72AF"/>
    <w:rsid w:val="00DB10E8"/>
    <w:rsid w:val="00DB2FBD"/>
    <w:rsid w:val="00DC3952"/>
    <w:rsid w:val="00DC3E00"/>
    <w:rsid w:val="00DD7066"/>
    <w:rsid w:val="00DE72B6"/>
    <w:rsid w:val="00DE7BDA"/>
    <w:rsid w:val="00DF26E4"/>
    <w:rsid w:val="00E047D5"/>
    <w:rsid w:val="00E078B5"/>
    <w:rsid w:val="00E16C4E"/>
    <w:rsid w:val="00E174DA"/>
    <w:rsid w:val="00E22E13"/>
    <w:rsid w:val="00E42152"/>
    <w:rsid w:val="00E5420C"/>
    <w:rsid w:val="00E556BC"/>
    <w:rsid w:val="00E61A3B"/>
    <w:rsid w:val="00E71F55"/>
    <w:rsid w:val="00E722FA"/>
    <w:rsid w:val="00E7272F"/>
    <w:rsid w:val="00E822A7"/>
    <w:rsid w:val="00E9297C"/>
    <w:rsid w:val="00E9549A"/>
    <w:rsid w:val="00EB24A7"/>
    <w:rsid w:val="00EB265C"/>
    <w:rsid w:val="00EB6518"/>
    <w:rsid w:val="00EE05DD"/>
    <w:rsid w:val="00EE0C3F"/>
    <w:rsid w:val="00EE50A1"/>
    <w:rsid w:val="00F04639"/>
    <w:rsid w:val="00F20F4F"/>
    <w:rsid w:val="00F25D59"/>
    <w:rsid w:val="00F448C6"/>
    <w:rsid w:val="00F51A2A"/>
    <w:rsid w:val="00F631A5"/>
    <w:rsid w:val="00F74F1C"/>
    <w:rsid w:val="00F82F97"/>
    <w:rsid w:val="00F844AC"/>
    <w:rsid w:val="00F866A5"/>
    <w:rsid w:val="00F866F0"/>
    <w:rsid w:val="00F93D79"/>
    <w:rsid w:val="00F96E3B"/>
    <w:rsid w:val="00FA1192"/>
    <w:rsid w:val="00FC24ED"/>
    <w:rsid w:val="00FC69CD"/>
    <w:rsid w:val="00FF3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A0"/>
    <w:pPr>
      <w:ind w:left="720"/>
      <w:contextualSpacing/>
    </w:pPr>
  </w:style>
  <w:style w:type="table" w:styleId="TableGrid">
    <w:name w:val="Table Grid"/>
    <w:basedOn w:val="TableNormal"/>
    <w:uiPriority w:val="39"/>
    <w:rsid w:val="0081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CB"/>
    <w:rPr>
      <w:rFonts w:ascii="Segoe UI" w:hAnsi="Segoe UI" w:cs="Segoe UI"/>
      <w:sz w:val="18"/>
      <w:szCs w:val="18"/>
    </w:rPr>
  </w:style>
  <w:style w:type="character" w:styleId="CommentReference">
    <w:name w:val="annotation reference"/>
    <w:basedOn w:val="DefaultParagraphFont"/>
    <w:uiPriority w:val="99"/>
    <w:semiHidden/>
    <w:unhideWhenUsed/>
    <w:rsid w:val="00544D51"/>
    <w:rPr>
      <w:sz w:val="16"/>
      <w:szCs w:val="16"/>
    </w:rPr>
  </w:style>
  <w:style w:type="paragraph" w:styleId="CommentText">
    <w:name w:val="annotation text"/>
    <w:basedOn w:val="Normal"/>
    <w:link w:val="CommentTextChar"/>
    <w:uiPriority w:val="99"/>
    <w:semiHidden/>
    <w:unhideWhenUsed/>
    <w:rsid w:val="00544D51"/>
    <w:pPr>
      <w:spacing w:line="240" w:lineRule="auto"/>
    </w:pPr>
    <w:rPr>
      <w:sz w:val="20"/>
      <w:szCs w:val="20"/>
    </w:rPr>
  </w:style>
  <w:style w:type="character" w:customStyle="1" w:styleId="CommentTextChar">
    <w:name w:val="Comment Text Char"/>
    <w:basedOn w:val="DefaultParagraphFont"/>
    <w:link w:val="CommentText"/>
    <w:uiPriority w:val="99"/>
    <w:semiHidden/>
    <w:rsid w:val="00544D51"/>
    <w:rPr>
      <w:sz w:val="20"/>
      <w:szCs w:val="20"/>
    </w:rPr>
  </w:style>
  <w:style w:type="paragraph" w:styleId="CommentSubject">
    <w:name w:val="annotation subject"/>
    <w:basedOn w:val="CommentText"/>
    <w:next w:val="CommentText"/>
    <w:link w:val="CommentSubjectChar"/>
    <w:uiPriority w:val="99"/>
    <w:semiHidden/>
    <w:unhideWhenUsed/>
    <w:rsid w:val="00544D51"/>
    <w:rPr>
      <w:b/>
      <w:bCs/>
    </w:rPr>
  </w:style>
  <w:style w:type="character" w:customStyle="1" w:styleId="CommentSubjectChar">
    <w:name w:val="Comment Subject Char"/>
    <w:basedOn w:val="CommentTextChar"/>
    <w:link w:val="CommentSubject"/>
    <w:uiPriority w:val="99"/>
    <w:semiHidden/>
    <w:rsid w:val="00544D51"/>
    <w:rPr>
      <w:b/>
      <w:bCs/>
      <w:sz w:val="20"/>
      <w:szCs w:val="20"/>
    </w:rPr>
  </w:style>
  <w:style w:type="character" w:styleId="LineNumber">
    <w:name w:val="line number"/>
    <w:basedOn w:val="DefaultParagraphFont"/>
    <w:uiPriority w:val="99"/>
    <w:semiHidden/>
    <w:unhideWhenUsed/>
    <w:rsid w:val="000844EF"/>
  </w:style>
  <w:style w:type="paragraph" w:styleId="Caption">
    <w:name w:val="caption"/>
    <w:basedOn w:val="Normal"/>
    <w:next w:val="Normal"/>
    <w:qFormat/>
    <w:rsid w:val="002F7930"/>
    <w:pPr>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2A0"/>
    <w:pPr>
      <w:ind w:left="720"/>
      <w:contextualSpacing/>
    </w:pPr>
  </w:style>
  <w:style w:type="table" w:styleId="TableGrid">
    <w:name w:val="Table Grid"/>
    <w:basedOn w:val="TableNormal"/>
    <w:uiPriority w:val="39"/>
    <w:rsid w:val="00811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6CB"/>
    <w:rPr>
      <w:rFonts w:ascii="Segoe UI" w:hAnsi="Segoe UI" w:cs="Segoe UI"/>
      <w:sz w:val="18"/>
      <w:szCs w:val="18"/>
    </w:rPr>
  </w:style>
  <w:style w:type="character" w:styleId="CommentReference">
    <w:name w:val="annotation reference"/>
    <w:basedOn w:val="DefaultParagraphFont"/>
    <w:uiPriority w:val="99"/>
    <w:semiHidden/>
    <w:unhideWhenUsed/>
    <w:rsid w:val="00544D51"/>
    <w:rPr>
      <w:sz w:val="16"/>
      <w:szCs w:val="16"/>
    </w:rPr>
  </w:style>
  <w:style w:type="paragraph" w:styleId="CommentText">
    <w:name w:val="annotation text"/>
    <w:basedOn w:val="Normal"/>
    <w:link w:val="CommentTextChar"/>
    <w:uiPriority w:val="99"/>
    <w:semiHidden/>
    <w:unhideWhenUsed/>
    <w:rsid w:val="00544D51"/>
    <w:pPr>
      <w:spacing w:line="240" w:lineRule="auto"/>
    </w:pPr>
    <w:rPr>
      <w:sz w:val="20"/>
      <w:szCs w:val="20"/>
    </w:rPr>
  </w:style>
  <w:style w:type="character" w:customStyle="1" w:styleId="CommentTextChar">
    <w:name w:val="Comment Text Char"/>
    <w:basedOn w:val="DefaultParagraphFont"/>
    <w:link w:val="CommentText"/>
    <w:uiPriority w:val="99"/>
    <w:semiHidden/>
    <w:rsid w:val="00544D51"/>
    <w:rPr>
      <w:sz w:val="20"/>
      <w:szCs w:val="20"/>
    </w:rPr>
  </w:style>
  <w:style w:type="paragraph" w:styleId="CommentSubject">
    <w:name w:val="annotation subject"/>
    <w:basedOn w:val="CommentText"/>
    <w:next w:val="CommentText"/>
    <w:link w:val="CommentSubjectChar"/>
    <w:uiPriority w:val="99"/>
    <w:semiHidden/>
    <w:unhideWhenUsed/>
    <w:rsid w:val="00544D51"/>
    <w:rPr>
      <w:b/>
      <w:bCs/>
    </w:rPr>
  </w:style>
  <w:style w:type="character" w:customStyle="1" w:styleId="CommentSubjectChar">
    <w:name w:val="Comment Subject Char"/>
    <w:basedOn w:val="CommentTextChar"/>
    <w:link w:val="CommentSubject"/>
    <w:uiPriority w:val="99"/>
    <w:semiHidden/>
    <w:rsid w:val="00544D51"/>
    <w:rPr>
      <w:b/>
      <w:bCs/>
      <w:sz w:val="20"/>
      <w:szCs w:val="20"/>
    </w:rPr>
  </w:style>
  <w:style w:type="character" w:styleId="LineNumber">
    <w:name w:val="line number"/>
    <w:basedOn w:val="DefaultParagraphFont"/>
    <w:uiPriority w:val="99"/>
    <w:semiHidden/>
    <w:unhideWhenUsed/>
    <w:rsid w:val="000844EF"/>
  </w:style>
  <w:style w:type="paragraph" w:styleId="Caption">
    <w:name w:val="caption"/>
    <w:basedOn w:val="Normal"/>
    <w:next w:val="Normal"/>
    <w:qFormat/>
    <w:rsid w:val="002F7930"/>
    <w:pPr>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425">
      <w:bodyDiv w:val="1"/>
      <w:marLeft w:val="0"/>
      <w:marRight w:val="0"/>
      <w:marTop w:val="0"/>
      <w:marBottom w:val="0"/>
      <w:divBdr>
        <w:top w:val="none" w:sz="0" w:space="0" w:color="auto"/>
        <w:left w:val="none" w:sz="0" w:space="0" w:color="auto"/>
        <w:bottom w:val="none" w:sz="0" w:space="0" w:color="auto"/>
        <w:right w:val="none" w:sz="0" w:space="0" w:color="auto"/>
      </w:divBdr>
    </w:div>
    <w:div w:id="167140114">
      <w:bodyDiv w:val="1"/>
      <w:marLeft w:val="0"/>
      <w:marRight w:val="0"/>
      <w:marTop w:val="0"/>
      <w:marBottom w:val="0"/>
      <w:divBdr>
        <w:top w:val="none" w:sz="0" w:space="0" w:color="auto"/>
        <w:left w:val="none" w:sz="0" w:space="0" w:color="auto"/>
        <w:bottom w:val="none" w:sz="0" w:space="0" w:color="auto"/>
        <w:right w:val="none" w:sz="0" w:space="0" w:color="auto"/>
      </w:divBdr>
    </w:div>
    <w:div w:id="1596549642">
      <w:bodyDiv w:val="1"/>
      <w:marLeft w:val="0"/>
      <w:marRight w:val="0"/>
      <w:marTop w:val="0"/>
      <w:marBottom w:val="0"/>
      <w:divBdr>
        <w:top w:val="none" w:sz="0" w:space="0" w:color="auto"/>
        <w:left w:val="none" w:sz="0" w:space="0" w:color="auto"/>
        <w:bottom w:val="none" w:sz="0" w:space="0" w:color="auto"/>
        <w:right w:val="none" w:sz="0" w:space="0" w:color="auto"/>
      </w:divBdr>
    </w:div>
    <w:div w:id="20291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22F698-04E3-44B4-83CC-991743B4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Green</dc:creator>
  <cp:lastModifiedBy>IMillar</cp:lastModifiedBy>
  <cp:revision>14</cp:revision>
  <cp:lastPrinted>2019-04-04T12:11:00Z</cp:lastPrinted>
  <dcterms:created xsi:type="dcterms:W3CDTF">2019-04-03T16:59:00Z</dcterms:created>
  <dcterms:modified xsi:type="dcterms:W3CDTF">2019-04-05T09:16:00Z</dcterms:modified>
</cp:coreProperties>
</file>